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rPr>
          <w:rFonts w:ascii="宋体" w:hAnsi="宋体" w:cs="宋体"/>
          <w:color w:val="auto"/>
          <w:sz w:val="24"/>
          <w:szCs w:val="24"/>
          <w:highlight w:val="none"/>
        </w:rPr>
        <w:pBdr>
          <w:top w:val="single" w:color="000000" w:sz="4" w:space="1"/>
          <w:left w:val="single" w:color="000000" w:sz="4" w:space="3"/>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jc w:val="left"/>
        <w:spacing w:line="360" w:lineRule="exact"/>
        <w:rPr>
          <w:rFonts w:ascii="宋体" w:hAnsi="宋体" w:cs="宋体"/>
          <w:color w:val="auto"/>
          <w:sz w:val="24"/>
          <w:szCs w:val="24"/>
          <w:highlight w:val="none"/>
        </w:rPr>
        <w:pBdr>
          <w:top w:val="single" w:color="000000" w:sz="4" w:space="1"/>
          <w:left w:val="single" w:color="000000" w:sz="4" w:space="3"/>
          <w:bottom w:val="single" w:color="000000" w:sz="4" w:space="1"/>
          <w:right w:val="single" w:color="000000" w:sz="4" w:space="4"/>
        </w:pBdr>
      </w:pPr>
      <w:r>
        <w:rPr>
          <w:rFonts w:hint="eastAsia" w:ascii="宋体" w:hAnsi="宋体"/>
          <w:color w:val="auto"/>
          <w:sz w:val="24"/>
          <w:szCs w:val="24"/>
          <w:highlight w:val="none"/>
          <w:u w:val="single"/>
        </w:rPr>
        <w:t xml:space="preserve">正电子发射及X射线计算机断层成像系统（PET/CT)</w:t>
      </w:r>
      <w:r>
        <w:rPr>
          <w:rFonts w:hint="eastAsia" w:ascii="宋体" w:hAnsi="宋体" w:cs="宋体"/>
          <w:color w:val="auto"/>
          <w:sz w:val="24"/>
          <w:szCs w:val="24"/>
          <w:highlight w:val="none"/>
        </w:rPr>
        <w:t xml:space="preserve">招标项目的潜在投标人应在苏采云系统上通过网上报名获取招标文件，并于</w:t>
      </w:r>
      <w:r>
        <w:rPr>
          <w:rFonts w:hint="eastAsia" w:ascii="宋体" w:hAnsi="宋体"/>
          <w:color w:val="auto"/>
          <w:sz w:val="24"/>
          <w:szCs w:val="24"/>
          <w:highlight w:val="none"/>
          <w:u w:val="single"/>
          <w:lang w:eastAsia="zh-CN"/>
        </w:rPr>
        <w:t xml:space="preserve">2026年5月11日</w:t>
      </w:r>
      <w:r>
        <w:rPr>
          <w:rFonts w:hint="eastAsia" w:ascii="宋体" w:hAnsi="宋体"/>
          <w:color w:val="auto"/>
          <w:sz w:val="24"/>
          <w:szCs w:val="24"/>
          <w:highlight w:val="none"/>
          <w:u w:val="single"/>
          <w:lang w:val="en-US" w:eastAsia="zh-CN"/>
        </w:rPr>
        <w:t xml:space="preserve">9</w:t>
      </w:r>
      <w:r>
        <w:rPr>
          <w:rFonts w:ascii="宋体" w:hAnsi="宋体"/>
          <w:color w:val="auto"/>
          <w:sz w:val="24"/>
          <w:szCs w:val="24"/>
          <w:highlight w:val="none"/>
          <w:u w:val="single"/>
        </w:rPr>
        <w:t xml:space="preserve">点00分</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北京时间）前提交电子投标文件。</w:t>
      </w:r>
      <w:r/>
    </w:p>
    <w:p>
      <w:pPr>
        <w:spacing w:line="440" w:lineRule="exact"/>
        <w:rPr>
          <w:rFonts w:ascii="宋体" w:hAnsi="宋体"/>
          <w:color w:val="auto"/>
          <w:sz w:val="24"/>
          <w:szCs w:val="24"/>
          <w:highlight w:val="none"/>
        </w:rPr>
      </w:pPr>
      <w:r/>
      <w:bookmarkStart w:id="0" w:name="OLE_LINK12"/>
      <w:r/>
      <w:bookmarkStart w:id="1" w:name="OLE_LINK46"/>
      <w:r/>
      <w:bookmarkStart w:id="2" w:name="OLE_LINK21"/>
      <w:r>
        <w:rPr>
          <w:rFonts w:hint="eastAsia" w:ascii="宋体" w:hAnsi="宋体"/>
          <w:color w:val="auto"/>
          <w:sz w:val="24"/>
          <w:szCs w:val="24"/>
          <w:highlight w:val="none"/>
        </w:rPr>
        <w:t xml:space="preserve">一、项目基本情况</w:t>
      </w:r>
      <w:r/>
    </w:p>
    <w:p>
      <w:pPr>
        <w:ind w:firstLine="480"/>
        <w:spacing w:line="440" w:lineRule="exact"/>
        <w:rPr>
          <w:rFonts w:hint="eastAsia" w:ascii="宋体" w:hAnsi="宋体" w:eastAsia="宋体"/>
          <w:color w:val="auto"/>
          <w:sz w:val="24"/>
          <w:szCs w:val="24"/>
          <w:highlight w:val="none"/>
          <w:lang w:eastAsia="zh-CN"/>
        </w:rPr>
      </w:pPr>
      <w:r/>
      <w:bookmarkStart w:id="3" w:name="OLE_LINK38"/>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JSZC-320581-SZWK-G2026-0065</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、项目名称：正电子发射及X射线计算机断层成像系统（PET/CT)</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3、采购方式：√公开招标 □竞争性谈判 □竞争性磋商□询价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4、预算金额：</w:t>
      </w:r>
      <w:bookmarkStart w:id="4" w:name="OLE_LINK9"/>
      <w:r/>
      <w:bookmarkStart w:id="5" w:name="OLE_LINK57"/>
      <w:r/>
      <w:bookmarkStart w:id="6" w:name="OLE_LINK33"/>
      <w:r>
        <w:rPr>
          <w:rFonts w:hint="eastAsia" w:ascii="宋体" w:hAnsi="宋体"/>
          <w:color w:val="auto"/>
          <w:sz w:val="24"/>
          <w:szCs w:val="24"/>
          <w:highlight w:val="none"/>
        </w:rPr>
        <w:t xml:space="preserve">人民币25000000.00元整。</w:t>
      </w:r>
      <w:bookmarkEnd w:id="4"/>
      <w:r/>
      <w:bookmarkEnd w:id="5"/>
      <w:r/>
      <w:bookmarkEnd w:id="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最高限价：人民币21000000.00元整。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5、采购需求：正电子发射及X射线计算机断层成像系统（PET/CT)由正电子发射断层成像（PET）和X 射线计算机体层成像（CT）扫描仪组成，均可独立成像。CT子系统临床适用于X射线体层成像。PET子系统临床适用于核医学成像，测量患者体内放射性药物分布，评价人体新陈代谢与生理功能。PET子系统还可以利用CT图像获得PET检查的快速衰减校正图以及PET和CT融合图像。具有资质的临床医生用于病灶的诊断和分期，评估器官功能，以及制定放射治疗计划。</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注：正电子发射及X射线计算机断层成像系统（PET/CT)1套及配套设备1批，不接受进口产品。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6、合同履行期限：</w:t>
      </w:r>
      <w:bookmarkStart w:id="7" w:name="OLE_LINK11"/>
      <w:r/>
      <w:bookmarkStart w:id="8" w:name="OLE_LINK10"/>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w:t>
      </w:r>
      <w:r>
        <w:rPr>
          <w:rFonts w:ascii="宋体" w:hAnsi="宋体"/>
          <w:color w:val="auto"/>
          <w:sz w:val="24"/>
          <w:szCs w:val="24"/>
          <w:highlight w:val="none"/>
        </w:rPr>
        <w:t xml:space="preserve">合同签订生效后</w:t>
      </w:r>
      <w:r>
        <w:rPr>
          <w:rFonts w:hint="eastAsia" w:ascii="宋体" w:hAnsi="宋体"/>
          <w:color w:val="auto"/>
          <w:sz w:val="24"/>
          <w:szCs w:val="24"/>
          <w:highlight w:val="none"/>
        </w:rPr>
        <w:t xml:space="preserve">，在收到采购方通知90天内交货</w:t>
      </w:r>
      <w:r>
        <w:rPr>
          <w:rFonts w:ascii="宋体" w:hAnsi="宋体"/>
          <w:color w:val="auto"/>
          <w:sz w:val="24"/>
          <w:szCs w:val="24"/>
          <w:highlight w:val="none"/>
        </w:rPr>
        <w:t xml:space="preserve">送至指定地点并安装调试完成</w:t>
      </w:r>
      <w:bookmarkEnd w:id="7"/>
      <w:r/>
      <w:bookmarkEnd w:id="8"/>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6.2质保期：原厂质保≥3年（质保期自设备经验收合格之日起计算）。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6.3交货期：合同签订生效之后，产品在90天内交货并安装调试结束。</w:t>
      </w:r>
      <w:r/>
    </w:p>
    <w:p>
      <w:pPr>
        <w:ind w:firstLine="9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交货地点：医院指定地点。</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6.4验收标准：按采购要求进行验收。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7、本项目不接受联合体投标，不接受转包，分包。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、本项目的特定资格要求：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具有所投产品生产（经营）许可资格；</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具有《辐射安全许可证》。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3、落实政府釆购政策需满足的资格要求：</w:t>
      </w:r>
      <w:r/>
    </w:p>
    <w:p>
      <w:pPr>
        <w:ind w:firstLine="482"/>
        <w:spacing w:line="440" w:lineRule="exact"/>
        <w:rPr>
          <w:rFonts w:ascii="宋体" w:hAnsi="宋体" w:cs="宋体"/>
          <w:color w:val="auto"/>
          <w:sz w:val="24"/>
          <w:szCs w:val="24"/>
          <w:highlight w:val="none"/>
        </w:rPr>
      </w:pPr>
      <w:r/>
      <w:bookmarkStart w:id="9" w:name="OLE_LINK3"/>
      <w:r/>
      <w:bookmarkStart w:id="10" w:name="OLE_LINK2"/>
      <w:r>
        <w:rPr>
          <w:rFonts w:hint="eastAsia" w:ascii="宋体" w:hAnsi="宋体" w:cs="宋体"/>
          <w:color w:val="auto"/>
          <w:sz w:val="24"/>
          <w:szCs w:val="24"/>
          <w:highlight w:val="none"/>
        </w:rPr>
        <w:t xml:space="preserve">本项目非专门面向中小企业采购项目，所属行业为工业。</w:t>
      </w:r>
      <w:bookmarkEnd w:id="9"/>
      <w:bookmarkEnd w:id="10"/>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4.3执行《关于贯彻执行绿色采购、促进残疾人就业和支持监狱企业发展有关政策的通知（苏财购〔2019〕10号）》的通知规定。</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1、时间：自招标公告发布之日起5个工作日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2、方式：网上报名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（2）登录报名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（3）在网上报名过程中如有疑问，请及时联系：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系统使用指导与咨询：联系电话：13914088964；18261002950（不见面项目）QQ：3048755361、895706745。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4、本项目采用网上投标电子评标方式。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1、提交投标文件截止时间：</w:t>
      </w:r>
      <w:r>
        <w:rPr>
          <w:rFonts w:hint="eastAsia" w:ascii="宋体" w:hAnsi="宋体"/>
          <w:color w:val="auto"/>
          <w:sz w:val="24"/>
          <w:szCs w:val="24"/>
          <w:highlight w:val="none"/>
          <w:lang w:eastAsia="zh-CN"/>
        </w:rPr>
        <w:t xml:space="preserve">2026年5月11日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2026年5月11日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2026年5月11日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4、开标地点：苏采云系统网上开标大厅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7、请供应商确保电脑、系统及其他设备（视频输入输出设备等）无误，且开标直至项目结束始终保持系统在线状态。</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五</w:t>
      </w:r>
      <w:r>
        <w:rPr>
          <w:rFonts w:ascii="宋体" w:hAnsi="宋体"/>
          <w:color w:val="auto"/>
          <w:sz w:val="24"/>
          <w:szCs w:val="24"/>
          <w:highlight w:val="none"/>
        </w:rPr>
        <w:t xml:space="preserve">、公告</w:t>
      </w:r>
      <w:r>
        <w:rPr>
          <w:rFonts w:hint="eastAsia" w:ascii="宋体" w:hAnsi="宋体"/>
          <w:color w:val="auto"/>
          <w:sz w:val="24"/>
          <w:szCs w:val="24"/>
          <w:highlight w:val="none"/>
        </w:rPr>
        <w:t xml:space="preserve">期限</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六</w:t>
      </w:r>
      <w:r>
        <w:rPr>
          <w:rFonts w:ascii="宋体" w:hAnsi="宋体"/>
          <w:color w:val="auto"/>
          <w:sz w:val="24"/>
          <w:szCs w:val="24"/>
          <w:highlight w:val="none"/>
        </w:rPr>
        <w:t xml:space="preserve">、其他</w:t>
      </w:r>
      <w:r>
        <w:rPr>
          <w:rFonts w:hint="eastAsia" w:ascii="宋体" w:hAnsi="宋体"/>
          <w:color w:val="auto"/>
          <w:sz w:val="24"/>
          <w:szCs w:val="24"/>
          <w:highlight w:val="none"/>
        </w:rPr>
        <w:t xml:space="preserve">补充事宜</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11" w:name="_Hlk87882297"/>
      <w:r>
        <w:rPr>
          <w:rFonts w:hint="eastAsia" w:ascii="宋体" w:hAnsi="宋体" w:cs="宋体"/>
          <w:color w:val="auto"/>
          <w:sz w:val="24"/>
          <w:szCs w:val="24"/>
          <w:highlight w:val="none"/>
        </w:rPr>
        <w:t xml:space="preserve">有关本项目电子投标具体操作方法详见苏采云系统中的客户端使用说明和供应商《操作手册》。</w:t>
      </w:r>
      <w:r>
        <w:rPr>
          <w:color w:val="auto"/>
          <w:highlight w:val="none"/>
        </w:rPr>
        <w:fldChar w:fldCharType="begin"/>
      </w:r>
      <w:r>
        <w:rPr>
          <w:color w:val="auto"/>
          <w:highlight w:val="none"/>
        </w:rPr>
        <w:instrText xml:space="preserve"> HYPERLINK </w:instrText>
      </w:r>
      <w:r>
        <w:rPr>
          <w:color w:val="auto"/>
          <w:highlight w:val="none"/>
        </w:rPr>
        <w:fldChar w:fldCharType="separate"/>
      </w:r>
      <w:r>
        <w:rPr>
          <w:color w:val="auto"/>
          <w:highlight w:val="none"/>
        </w:rPr>
        <w:fldChar w:fldCharType="end"/>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bookmarkEnd w:id="11"/>
      <w:r/>
    </w:p>
    <w:p>
      <w:pPr>
        <w:ind w:firstLine="480"/>
        <w:spacing w:line="440" w:lineRule="exact"/>
        <w:rPr>
          <w:rFonts w:ascii="宋体" w:hAnsi="宋体" w:cs="宋体"/>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、公告媒体：中国政府采购网、</w:t>
      </w:r>
      <w:r>
        <w:rPr>
          <w:rFonts w:hint="eastAsia" w:ascii="宋体" w:hAnsi="宋体" w:cs="宋体"/>
          <w:color w:val="auto"/>
          <w:sz w:val="24"/>
          <w:szCs w:val="24"/>
          <w:highlight w:val="none"/>
        </w:rPr>
        <w:t xml:space="preserve">江苏政府采购网、苏州市政府采购网</w:t>
      </w:r>
      <w:r>
        <w:rPr>
          <w:rFonts w:hint="eastAsia"/>
          <w:color w:val="auto"/>
          <w:sz w:val="24"/>
          <w:szCs w:val="24"/>
          <w:highlight w:val="none"/>
        </w:rPr>
        <w:t xml:space="preserve">。</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采购人：常熟市第二人民医院</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联系人：金明霞</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联系电话：0512-52277255</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联系地址：常熟市海虞南路68号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 址：苏州市干将西路1296号深业姑苏中心1幢17层</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联系方式：</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u w:val="single"/>
        </w:rPr>
      </w:pPr>
      <w:r>
        <w:rPr>
          <w:rFonts w:hint="eastAsia" w:ascii="宋体" w:hAnsi="宋体" w:cs="宋体"/>
          <w:color w:val="auto"/>
          <w:sz w:val="24"/>
          <w:szCs w:val="24"/>
          <w:highlight w:val="none"/>
        </w:rPr>
        <w:t xml:space="preserve">3、项目</w:t>
      </w:r>
      <w:r>
        <w:rPr>
          <w:rFonts w:ascii="宋体" w:hAnsi="宋体" w:cs="宋体"/>
          <w:color w:val="auto"/>
          <w:sz w:val="24"/>
          <w:szCs w:val="24"/>
          <w:highlight w:val="none"/>
        </w:rPr>
        <w:t xml:space="preserve">联系方式</w:t>
      </w:r>
      <w:r/>
    </w:p>
    <w:p>
      <w:pPr>
        <w:ind w:firstLine="480"/>
        <w:spacing w:line="440" w:lineRule="exact"/>
        <w:rPr>
          <w:rFonts w:hAnsi="宋体"/>
          <w:color w:val="auto"/>
          <w:sz w:val="24"/>
          <w:szCs w:val="24"/>
          <w:highlight w:val="none"/>
        </w:rPr>
      </w:pPr>
      <w:r>
        <w:rPr>
          <w:rFonts w:hint="eastAsia" w:ascii="宋体" w:hAnsi="宋体" w:cs="宋体"/>
          <w:color w:val="auto"/>
          <w:sz w:val="24"/>
          <w:szCs w:val="24"/>
          <w:highlight w:val="none"/>
        </w:rPr>
        <w:t xml:space="preserve">项目联系人：王仕倩、吴帆、叶钧</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 话：</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72"/>
        <w:spacing w:line="440" w:lineRule="exact"/>
        <w:rPr>
          <w:color w:val="auto"/>
          <w:highlight w:val="none"/>
        </w:rPr>
      </w:pPr>
      <w:r>
        <w:rPr>
          <w:color w:val="auto"/>
          <w:highlight w:val="none"/>
        </w:rPr>
      </w:r>
      <w:r/>
    </w:p>
    <w:p>
      <w:pPr>
        <w:ind w:right="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bookmarkEnd w:id="0"/>
      <w:bookmarkEnd w:id="1"/>
      <w:bookmarkEnd w:id="2"/>
      <w:bookmarkEnd w:id="3"/>
      <w:r/>
    </w:p>
    <w:p>
      <w:pPr>
        <w:rPr>
          <w:rFonts w:ascii="宋体" w:hAnsi="宋体"/>
          <w:color w:val="auto"/>
          <w:sz w:val="96"/>
          <w:szCs w:val="96"/>
          <w:highlight w:val="none"/>
        </w:rPr>
      </w:pPr>
      <w:r>
        <w:rPr>
          <w:rFonts w:ascii="宋体" w:hAnsi="宋体"/>
          <w:color w:val="auto"/>
          <w:highlight w:val="none"/>
        </w:rPr>
        <w:br w:type="page" w:clear="all"/>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t xml:space="preserve">招 标 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672"/>
        <w:rPr>
          <w:rFonts w:ascii="宋体" w:hAnsi="宋体" w:eastAsia="宋体"/>
          <w:color w:val="auto"/>
          <w:highlight w:val="none"/>
        </w:rPr>
      </w:pPr>
      <w:r>
        <w:rPr>
          <w:rFonts w:ascii="宋体" w:hAnsi="宋体" w:eastAsia="宋体"/>
          <w:color w:val="auto"/>
          <w:highlight w:val="none"/>
        </w:rPr>
      </w:r>
      <w:r/>
    </w:p>
    <w:p>
      <w:pPr>
        <w:rPr>
          <w:rFonts w:ascii="宋体" w:hAnsi="宋体"/>
          <w:color w:val="auto"/>
          <w:sz w:val="44"/>
          <w:szCs w:val="44"/>
          <w:highlight w:val="none"/>
        </w:rPr>
      </w:pPr>
      <w:r>
        <w:rPr>
          <w:rFonts w:ascii="宋体" w:hAnsi="宋体"/>
          <w:color w:val="auto"/>
          <w:sz w:val="44"/>
          <w:szCs w:val="44"/>
          <w:highlight w:val="none"/>
        </w:rPr>
      </w:r>
      <w:r/>
    </w:p>
    <w:p>
      <w:pPr>
        <w:jc w:val="center"/>
        <w:rPr>
          <w:rFonts w:ascii="宋体" w:hAnsi="宋体"/>
          <w:color w:val="auto"/>
          <w:sz w:val="36"/>
          <w:szCs w:val="36"/>
          <w:highlight w:val="none"/>
        </w:rPr>
      </w:pPr>
      <w:r>
        <w:rPr>
          <w:rFonts w:ascii="宋体" w:hAnsi="宋体"/>
          <w:color w:val="auto"/>
          <w:sz w:val="36"/>
          <w:szCs w:val="36"/>
          <w:highlight w:val="none"/>
        </w:rPr>
        <w:t xml:space="preserve">项目名称：</w:t>
      </w:r>
      <w:r>
        <w:rPr>
          <w:rFonts w:hint="eastAsia" w:ascii="宋体" w:hAnsi="宋体"/>
          <w:color w:val="auto"/>
          <w:sz w:val="36"/>
          <w:szCs w:val="36"/>
          <w:highlight w:val="none"/>
        </w:rPr>
        <w:t xml:space="preserve">正电子发射及X射线计算机断层成像系统（PET/CT)</w:t>
      </w:r>
      <w:r/>
    </w:p>
    <w:p>
      <w:pPr>
        <w:pStyle w:val="672"/>
        <w:jc w:val="center"/>
        <w:rPr>
          <w:rFonts w:ascii="宋体" w:hAnsi="宋体" w:eastAsia="宋体"/>
          <w:color w:val="auto"/>
          <w:highlight w:val="none"/>
        </w:rPr>
      </w:pPr>
      <w:r>
        <w:rPr>
          <w:rFonts w:ascii="宋体" w:hAnsi="宋体" w:eastAsia="宋体"/>
          <w:color w:val="auto"/>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项目编号：</w:t>
      </w:r>
      <w:r>
        <w:rPr>
          <w:rFonts w:hint="eastAsia" w:ascii="宋体" w:hAnsi="宋体"/>
          <w:color w:val="auto"/>
          <w:sz w:val="36"/>
          <w:szCs w:val="36"/>
          <w:highlight w:val="none"/>
          <w:lang w:eastAsia="zh-CN"/>
        </w:rPr>
        <w:t xml:space="preserve">JSZC-320581-SZWK-G2026-0065</w:t>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jc w:val="center"/>
        <w:rPr>
          <w:rFonts w:ascii="宋体" w:hAnsi="宋体"/>
          <w:color w:val="auto"/>
          <w:sz w:val="36"/>
          <w:szCs w:val="36"/>
          <w:highlight w:val="none"/>
        </w:rPr>
      </w:pPr>
      <w:r>
        <w:rPr>
          <w:rFonts w:hint="eastAsia" w:ascii="宋体" w:hAnsi="宋体"/>
          <w:color w:val="auto"/>
          <w:sz w:val="36"/>
          <w:szCs w:val="36"/>
          <w:highlight w:val="none"/>
        </w:rPr>
        <w:t xml:space="preserve">苏州市卫康招投标咨询服务有限公司</w:t>
      </w:r>
      <w:r/>
    </w:p>
    <w:p>
      <w:pPr>
        <w:jc w:val="center"/>
        <w:rPr>
          <w:rFonts w:hint="eastAsia" w:ascii="宋体" w:hAnsi="宋体" w:eastAsia="宋体"/>
          <w:color w:val="auto"/>
          <w:sz w:val="44"/>
          <w:szCs w:val="44"/>
          <w:highlight w:val="none"/>
          <w:lang w:eastAsia="zh-CN"/>
        </w:rPr>
      </w:pPr>
      <w:r>
        <w:rPr>
          <w:rFonts w:hint="eastAsia" w:ascii="宋体" w:hAnsi="宋体"/>
          <w:color w:val="auto"/>
          <w:sz w:val="36"/>
          <w:szCs w:val="36"/>
          <w:highlight w:val="none"/>
          <w:lang w:eastAsia="zh-CN"/>
        </w:rPr>
        <w:t xml:space="preserve">2026年5月11日</w:t>
      </w:r>
      <w:r/>
    </w:p>
    <w:p>
      <w:pPr>
        <w:jc w:val="center"/>
        <w:rPr>
          <w:rFonts w:ascii="宋体" w:hAnsi="宋体"/>
          <w:color w:val="auto"/>
          <w:sz w:val="36"/>
          <w:szCs w:val="36"/>
          <w:highlight w:val="none"/>
        </w:rPr>
      </w:pPr>
      <w:r>
        <w:rPr>
          <w:rFonts w:ascii="宋体" w:hAnsi="宋体"/>
          <w:color w:val="auto"/>
          <w:highlight w:val="none"/>
        </w:rPr>
        <w:br w:type="page" w:clear="all"/>
      </w:r>
      <w:r>
        <w:rPr>
          <w:rFonts w:ascii="宋体" w:hAnsi="宋体"/>
          <w:color w:val="auto"/>
          <w:sz w:val="36"/>
          <w:szCs w:val="36"/>
          <w:highlight w:val="none"/>
        </w:rPr>
        <w:t xml:space="preserve">目   录</w:t>
      </w:r>
      <w:bookmarkStart w:id="12" w:name="_Toc158691765"/>
      <w:r/>
      <w:r/>
    </w:p>
    <w:p>
      <w:pPr>
        <w:pStyle w:val="688"/>
        <w:spacing w:after="0" w:line="400" w:lineRule="exact"/>
        <w:tabs>
          <w:tab w:val="right" w:pos="9650" w:leader="dot"/>
        </w:tabs>
        <w:rPr>
          <w:rFonts w:ascii="宋体" w:hAnsi="宋体"/>
          <w:bCs/>
          <w:caps/>
          <w:color w:val="auto"/>
          <w:sz w:val="30"/>
          <w:szCs w:val="30"/>
          <w:highlight w:val="none"/>
        </w:rPr>
      </w:pPr>
      <w:r>
        <w:rPr>
          <w:rFonts w:ascii="宋体" w:hAnsi="宋体"/>
          <w:bCs/>
          <w:caps/>
          <w:color w:val="auto"/>
          <w:sz w:val="30"/>
          <w:szCs w:val="30"/>
          <w:highlight w:val="none"/>
        </w:rPr>
      </w:r>
      <w:r/>
    </w:p>
    <w:p>
      <w:pPr>
        <w:pStyle w:val="688"/>
        <w:spacing w:after="0" w:line="400" w:lineRule="exact"/>
        <w:tabs>
          <w:tab w:val="right" w:pos="9650" w:leader="dot"/>
        </w:tabs>
        <w:rPr>
          <w:rFonts w:asciiTheme="minorHAnsi" w:hAnsiTheme="minorHAnsi" w:eastAsiaTheme="minorEastAsia" w:cstheme="minorBidi"/>
          <w:color w:val="auto"/>
          <w:sz w:val="30"/>
          <w:szCs w:val="30"/>
          <w:highlight w:val="none"/>
        </w:rPr>
      </w:pPr>
      <w:r>
        <w:rPr>
          <w:rFonts w:ascii="宋体" w:hAnsi="宋体"/>
          <w:bCs/>
          <w:caps/>
          <w:color w:val="auto"/>
          <w:sz w:val="30"/>
          <w:szCs w:val="30"/>
          <w:highlight w:val="none"/>
        </w:rPr>
        <w:fldChar w:fldCharType="begin"/>
      </w:r>
      <w:r>
        <w:rPr>
          <w:rFonts w:ascii="宋体" w:hAnsi="宋体"/>
          <w:color w:val="auto"/>
          <w:sz w:val="30"/>
          <w:szCs w:val="30"/>
          <w:highlight w:val="none"/>
        </w:rPr>
        <w:instrText xml:space="preserve"> TOC \o "1-3" \h \z \u </w:instrText>
      </w:r>
      <w:r>
        <w:rPr>
          <w:rFonts w:ascii="宋体" w:hAnsi="宋体"/>
          <w:bCs/>
          <w:caps/>
          <w:color w:val="auto"/>
          <w:sz w:val="30"/>
          <w:szCs w:val="30"/>
          <w:highlight w:val="none"/>
        </w:rPr>
        <w:fldChar w:fldCharType="separate"/>
      </w:r>
      <w:r>
        <w:rPr>
          <w:color w:val="auto"/>
          <w:highlight w:val="none"/>
        </w:rPr>
        <w:fldChar w:fldCharType="begin"/>
      </w:r>
      <w:r>
        <w:rPr>
          <w:color w:val="auto"/>
          <w:highlight w:val="none"/>
        </w:rPr>
        <w:instrText xml:space="preserve"> HYPERLINK \l "_Toc187920245" </w:instrText>
      </w:r>
      <w:r>
        <w:rPr>
          <w:color w:val="auto"/>
          <w:highlight w:val="none"/>
        </w:rPr>
        <w:fldChar w:fldCharType="separate"/>
      </w:r>
      <w:r>
        <w:rPr>
          <w:rStyle w:val="711"/>
          <w:color w:val="auto"/>
          <w:sz w:val="30"/>
          <w:szCs w:val="30"/>
          <w:highlight w:val="none"/>
        </w:rPr>
        <w:t xml:space="preserve">第一章投标邀请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_Toc187920245 \h </w:instrText>
      </w:r>
      <w:r>
        <w:rPr>
          <w:color w:val="auto"/>
          <w:sz w:val="30"/>
          <w:szCs w:val="30"/>
          <w:highlight w:val="none"/>
        </w:rPr>
        <w:fldChar w:fldCharType="separate"/>
      </w:r>
      <w:r>
        <w:rPr>
          <w:color w:val="auto"/>
          <w:sz w:val="30"/>
          <w:szCs w:val="30"/>
          <w:highlight w:val="none"/>
        </w:rPr>
        <w:t xml:space="preserve">7</w:t>
      </w:r>
      <w:r>
        <w:rPr>
          <w:color w:val="auto"/>
          <w:sz w:val="30"/>
          <w:szCs w:val="30"/>
          <w:highlight w:val="none"/>
        </w:rPr>
        <w:fldChar w:fldCharType="end"/>
      </w:r>
      <w:r>
        <w:rPr>
          <w:color w:val="auto"/>
          <w:sz w:val="30"/>
          <w:szCs w:val="30"/>
          <w:highlight w:val="none"/>
        </w:rPr>
        <w:fldChar w:fldCharType="end"/>
      </w:r>
      <w:r/>
    </w:p>
    <w:p>
      <w:pPr>
        <w:pStyle w:val="688"/>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"_Toc187920246" </w:instrText>
      </w:r>
      <w:r>
        <w:rPr>
          <w:color w:val="auto"/>
          <w:highlight w:val="none"/>
        </w:rPr>
        <w:fldChar w:fldCharType="separate"/>
      </w:r>
      <w:r>
        <w:rPr>
          <w:rStyle w:val="711"/>
          <w:color w:val="auto"/>
          <w:sz w:val="30"/>
          <w:szCs w:val="30"/>
          <w:highlight w:val="none"/>
        </w:rPr>
        <w:t xml:space="preserve">第二章投标人须知专用条款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_Toc187920246 \h </w:instrText>
      </w:r>
      <w:r>
        <w:rPr>
          <w:color w:val="auto"/>
          <w:sz w:val="30"/>
          <w:szCs w:val="30"/>
          <w:highlight w:val="none"/>
        </w:rPr>
        <w:fldChar w:fldCharType="separate"/>
      </w:r>
      <w:r>
        <w:rPr>
          <w:color w:val="auto"/>
          <w:sz w:val="30"/>
          <w:szCs w:val="30"/>
          <w:highlight w:val="none"/>
        </w:rPr>
        <w:t xml:space="preserve">11</w:t>
      </w:r>
      <w:r>
        <w:rPr>
          <w:color w:val="auto"/>
          <w:sz w:val="30"/>
          <w:szCs w:val="30"/>
          <w:highlight w:val="none"/>
        </w:rPr>
        <w:fldChar w:fldCharType="end"/>
      </w:r>
      <w:r>
        <w:rPr>
          <w:color w:val="auto"/>
          <w:sz w:val="30"/>
          <w:szCs w:val="30"/>
          <w:highlight w:val="none"/>
        </w:rPr>
        <w:fldChar w:fldCharType="end"/>
      </w:r>
      <w:r/>
    </w:p>
    <w:p>
      <w:pPr>
        <w:pStyle w:val="688"/>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"_Toc187920247" </w:instrText>
      </w:r>
      <w:r>
        <w:rPr>
          <w:color w:val="auto"/>
          <w:highlight w:val="none"/>
        </w:rPr>
        <w:fldChar w:fldCharType="separate"/>
      </w:r>
      <w:r>
        <w:rPr>
          <w:rStyle w:val="711"/>
          <w:rFonts w:ascii="宋体" w:hAnsi="宋体"/>
          <w:color w:val="auto"/>
          <w:sz w:val="30"/>
          <w:szCs w:val="30"/>
          <w:highlight w:val="none"/>
        </w:rPr>
        <w:t xml:space="preserve">第三章  投标人须知通用条款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_Toc187920247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"_Toc187920248" </w:instrText>
      </w:r>
      <w:r>
        <w:rPr>
          <w:color w:val="auto"/>
          <w:highlight w:val="none"/>
        </w:rPr>
        <w:fldChar w:fldCharType="separate"/>
      </w:r>
      <w:r>
        <w:rPr>
          <w:rStyle w:val="711"/>
          <w:rFonts w:ascii="宋体" w:hAnsi="宋体"/>
          <w:color w:val="auto"/>
          <w:sz w:val="30"/>
          <w:szCs w:val="30"/>
          <w:highlight w:val="none"/>
        </w:rPr>
        <w:t xml:space="preserve">一、总则</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_Toc187920248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"_Toc187920249" </w:instrText>
      </w:r>
      <w:r>
        <w:rPr>
          <w:color w:val="auto"/>
          <w:highlight w:val="none"/>
        </w:rPr>
        <w:fldChar w:fldCharType="separate"/>
      </w:r>
      <w:r>
        <w:rPr>
          <w:rStyle w:val="711"/>
          <w:rFonts w:ascii="宋体" w:hAnsi="宋体"/>
          <w:color w:val="auto"/>
          <w:sz w:val="30"/>
          <w:szCs w:val="30"/>
          <w:highlight w:val="none"/>
        </w:rPr>
        <w:t xml:space="preserve">二、招标文件的说明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_Toc187920249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"_Toc187920250" </w:instrText>
      </w:r>
      <w:r>
        <w:rPr>
          <w:color w:val="auto"/>
          <w:highlight w:val="none"/>
        </w:rPr>
        <w:fldChar w:fldCharType="separate"/>
      </w:r>
      <w:r>
        <w:rPr>
          <w:rStyle w:val="711"/>
          <w:rFonts w:ascii="宋体" w:hAnsi="宋体"/>
          <w:color w:val="auto"/>
          <w:sz w:val="30"/>
          <w:szCs w:val="30"/>
          <w:highlight w:val="none"/>
        </w:rPr>
        <w:t xml:space="preserve">三、投标文件的编制</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_Toc187920250 \h </w:instrText>
      </w:r>
      <w:r>
        <w:rPr>
          <w:color w:val="auto"/>
          <w:sz w:val="30"/>
          <w:szCs w:val="30"/>
          <w:highlight w:val="none"/>
        </w:rPr>
        <w:fldChar w:fldCharType="separate"/>
      </w:r>
      <w:r>
        <w:rPr>
          <w:color w:val="auto"/>
          <w:sz w:val="30"/>
          <w:szCs w:val="30"/>
          <w:highlight w:val="none"/>
        </w:rPr>
        <w:t xml:space="preserve">14</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"_Toc187920251" </w:instrText>
      </w:r>
      <w:r>
        <w:rPr>
          <w:color w:val="auto"/>
          <w:highlight w:val="none"/>
        </w:rPr>
        <w:fldChar w:fldCharType="separate"/>
      </w:r>
      <w:r>
        <w:rPr>
          <w:rStyle w:val="711"/>
          <w:rFonts w:ascii="宋体" w:hAnsi="宋体"/>
          <w:color w:val="auto"/>
          <w:sz w:val="30"/>
          <w:szCs w:val="30"/>
          <w:highlight w:val="none"/>
        </w:rPr>
        <w:t xml:space="preserve">四、投标文件的提交</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_Toc187920251 \h </w:instrText>
      </w:r>
      <w:r>
        <w:rPr>
          <w:color w:val="auto"/>
          <w:sz w:val="30"/>
          <w:szCs w:val="30"/>
          <w:highlight w:val="none"/>
        </w:rPr>
        <w:fldChar w:fldCharType="separate"/>
      </w:r>
      <w:r>
        <w:rPr>
          <w:color w:val="auto"/>
          <w:sz w:val="30"/>
          <w:szCs w:val="30"/>
          <w:highlight w:val="none"/>
        </w:rPr>
        <w:t xml:space="preserve">15</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"_Toc187920252" </w:instrText>
      </w:r>
      <w:r>
        <w:rPr>
          <w:color w:val="auto"/>
          <w:highlight w:val="none"/>
        </w:rPr>
        <w:fldChar w:fldCharType="separate"/>
      </w:r>
      <w:r>
        <w:rPr>
          <w:rStyle w:val="711"/>
          <w:rFonts w:ascii="宋体" w:hAnsi="宋体"/>
          <w:color w:val="auto"/>
          <w:sz w:val="30"/>
          <w:szCs w:val="30"/>
          <w:highlight w:val="none"/>
        </w:rPr>
        <w:t xml:space="preserve">五、开标与评标</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_Toc187920252 \h </w:instrText>
      </w:r>
      <w:r>
        <w:rPr>
          <w:color w:val="auto"/>
          <w:sz w:val="30"/>
          <w:szCs w:val="30"/>
          <w:highlight w:val="none"/>
        </w:rPr>
        <w:fldChar w:fldCharType="separate"/>
      </w:r>
      <w:r>
        <w:rPr>
          <w:color w:val="auto"/>
          <w:sz w:val="30"/>
          <w:szCs w:val="30"/>
          <w:highlight w:val="none"/>
        </w:rPr>
        <w:t xml:space="preserve">17</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"_Toc187920253" </w:instrText>
      </w:r>
      <w:r>
        <w:rPr>
          <w:color w:val="auto"/>
          <w:highlight w:val="none"/>
        </w:rPr>
        <w:fldChar w:fldCharType="separate"/>
      </w:r>
      <w:r>
        <w:rPr>
          <w:rStyle w:val="711"/>
          <w:rFonts w:ascii="宋体" w:hAnsi="宋体"/>
          <w:color w:val="auto"/>
          <w:sz w:val="30"/>
          <w:szCs w:val="30"/>
          <w:highlight w:val="none"/>
        </w:rPr>
        <w:t xml:space="preserve">六、授予合同</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_Toc187920253 \h </w:instrText>
      </w:r>
      <w:r>
        <w:rPr>
          <w:color w:val="auto"/>
          <w:sz w:val="30"/>
          <w:szCs w:val="30"/>
          <w:highlight w:val="none"/>
        </w:rPr>
        <w:fldChar w:fldCharType="separate"/>
      </w:r>
      <w:r>
        <w:rPr>
          <w:color w:val="auto"/>
          <w:sz w:val="30"/>
          <w:szCs w:val="30"/>
          <w:highlight w:val="none"/>
        </w:rPr>
        <w:t xml:space="preserve">20</w:t>
      </w:r>
      <w:r>
        <w:rPr>
          <w:color w:val="auto"/>
          <w:sz w:val="30"/>
          <w:szCs w:val="30"/>
          <w:highlight w:val="none"/>
        </w:rPr>
        <w:fldChar w:fldCharType="end"/>
      </w:r>
      <w:r>
        <w:rPr>
          <w:color w:val="auto"/>
          <w:sz w:val="30"/>
          <w:szCs w:val="30"/>
          <w:highlight w:val="none"/>
        </w:rPr>
        <w:fldChar w:fldCharType="end"/>
      </w:r>
      <w:r/>
    </w:p>
    <w:p>
      <w:pPr>
        <w:pStyle w:val="688"/>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"_Toc187920254" </w:instrText>
      </w:r>
      <w:r>
        <w:rPr>
          <w:color w:val="auto"/>
          <w:highlight w:val="none"/>
        </w:rPr>
        <w:fldChar w:fldCharType="separate"/>
      </w:r>
      <w:r>
        <w:rPr>
          <w:rStyle w:val="711"/>
          <w:color w:val="auto"/>
          <w:sz w:val="30"/>
          <w:szCs w:val="30"/>
          <w:highlight w:val="none"/>
        </w:rPr>
        <w:t xml:space="preserve">第四章项目需求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_Toc187920254 \h </w:instrText>
      </w:r>
      <w:r>
        <w:rPr>
          <w:color w:val="auto"/>
          <w:sz w:val="30"/>
          <w:szCs w:val="30"/>
          <w:highlight w:val="none"/>
        </w:rPr>
        <w:fldChar w:fldCharType="separate"/>
      </w:r>
      <w:r>
        <w:rPr>
          <w:color w:val="auto"/>
          <w:sz w:val="30"/>
          <w:szCs w:val="30"/>
          <w:highlight w:val="none"/>
        </w:rPr>
        <w:t xml:space="preserve">22</w:t>
      </w:r>
      <w:r>
        <w:rPr>
          <w:color w:val="auto"/>
          <w:sz w:val="30"/>
          <w:szCs w:val="30"/>
          <w:highlight w:val="none"/>
        </w:rPr>
        <w:fldChar w:fldCharType="end"/>
      </w:r>
      <w:r>
        <w:rPr>
          <w:color w:val="auto"/>
          <w:sz w:val="30"/>
          <w:szCs w:val="30"/>
          <w:highlight w:val="none"/>
        </w:rPr>
        <w:fldChar w:fldCharType="end"/>
      </w:r>
      <w:r/>
    </w:p>
    <w:p>
      <w:pPr>
        <w:pStyle w:val="688"/>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"_Toc187920255" </w:instrText>
      </w:r>
      <w:r>
        <w:rPr>
          <w:color w:val="auto"/>
          <w:highlight w:val="none"/>
        </w:rPr>
        <w:fldChar w:fldCharType="separate"/>
      </w:r>
      <w:r>
        <w:rPr>
          <w:rStyle w:val="711"/>
          <w:color w:val="auto"/>
          <w:sz w:val="30"/>
          <w:szCs w:val="30"/>
          <w:highlight w:val="none"/>
        </w:rPr>
        <w:t xml:space="preserve">第五章评审因素和评分标准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_Toc187920255 \h </w:instrText>
      </w:r>
      <w:r>
        <w:rPr>
          <w:color w:val="auto"/>
          <w:sz w:val="30"/>
          <w:szCs w:val="30"/>
          <w:highlight w:val="none"/>
        </w:rPr>
        <w:fldChar w:fldCharType="separate"/>
      </w:r>
      <w:r>
        <w:rPr>
          <w:color w:val="auto"/>
          <w:sz w:val="30"/>
          <w:szCs w:val="30"/>
          <w:highlight w:val="none"/>
        </w:rPr>
        <w:t xml:space="preserve">33</w:t>
      </w:r>
      <w:r>
        <w:rPr>
          <w:color w:val="auto"/>
          <w:sz w:val="30"/>
          <w:szCs w:val="30"/>
          <w:highlight w:val="none"/>
        </w:rPr>
        <w:fldChar w:fldCharType="end"/>
      </w:r>
      <w:r>
        <w:rPr>
          <w:color w:val="auto"/>
          <w:sz w:val="30"/>
          <w:szCs w:val="30"/>
          <w:highlight w:val="none"/>
        </w:rPr>
        <w:fldChar w:fldCharType="end"/>
      </w:r>
      <w:r/>
    </w:p>
    <w:p>
      <w:pPr>
        <w:pStyle w:val="688"/>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"_Toc187920256" </w:instrText>
      </w:r>
      <w:r>
        <w:rPr>
          <w:color w:val="auto"/>
          <w:highlight w:val="none"/>
        </w:rPr>
        <w:fldChar w:fldCharType="separate"/>
      </w:r>
      <w:r>
        <w:rPr>
          <w:rStyle w:val="711"/>
          <w:color w:val="auto"/>
          <w:sz w:val="30"/>
          <w:szCs w:val="30"/>
          <w:highlight w:val="none"/>
        </w:rPr>
        <w:t xml:space="preserve">第六章合同格式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_Toc187920256 \h </w:instrText>
      </w:r>
      <w:r>
        <w:rPr>
          <w:color w:val="auto"/>
          <w:sz w:val="30"/>
          <w:szCs w:val="30"/>
          <w:highlight w:val="none"/>
        </w:rPr>
        <w:fldChar w:fldCharType="separate"/>
      </w:r>
      <w:r>
        <w:rPr>
          <w:color w:val="auto"/>
          <w:sz w:val="30"/>
          <w:szCs w:val="30"/>
          <w:highlight w:val="none"/>
        </w:rPr>
        <w:t xml:space="preserve">38</w:t>
      </w:r>
      <w:r>
        <w:rPr>
          <w:color w:val="auto"/>
          <w:sz w:val="30"/>
          <w:szCs w:val="30"/>
          <w:highlight w:val="none"/>
        </w:rPr>
        <w:fldChar w:fldCharType="end"/>
      </w:r>
      <w:r>
        <w:rPr>
          <w:color w:val="auto"/>
          <w:sz w:val="30"/>
          <w:szCs w:val="30"/>
          <w:highlight w:val="none"/>
        </w:rPr>
        <w:fldChar w:fldCharType="end"/>
      </w:r>
      <w:r/>
    </w:p>
    <w:p>
      <w:pPr>
        <w:pStyle w:val="688"/>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"_Toc187920257" </w:instrText>
      </w:r>
      <w:r>
        <w:rPr>
          <w:color w:val="auto"/>
          <w:highlight w:val="none"/>
        </w:rPr>
        <w:fldChar w:fldCharType="separate"/>
      </w:r>
      <w:r>
        <w:rPr>
          <w:rStyle w:val="711"/>
          <w:color w:val="auto"/>
          <w:sz w:val="30"/>
          <w:szCs w:val="30"/>
          <w:highlight w:val="none"/>
        </w:rPr>
        <w:t xml:space="preserve">第七章投标文件组成与格式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_Toc187920257 \h </w:instrText>
      </w:r>
      <w:r>
        <w:rPr>
          <w:color w:val="auto"/>
          <w:sz w:val="30"/>
          <w:szCs w:val="30"/>
          <w:highlight w:val="none"/>
        </w:rPr>
        <w:fldChar w:fldCharType="separate"/>
      </w:r>
      <w:r>
        <w:rPr>
          <w:color w:val="auto"/>
          <w:sz w:val="30"/>
          <w:szCs w:val="30"/>
          <w:highlight w:val="none"/>
        </w:rPr>
        <w:t xml:space="preserve">46</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"_Toc187920258" </w:instrText>
      </w:r>
      <w:r>
        <w:rPr>
          <w:color w:val="auto"/>
          <w:highlight w:val="none"/>
        </w:rPr>
        <w:fldChar w:fldCharType="separate"/>
      </w:r>
      <w:r>
        <w:rPr>
          <w:rStyle w:val="711"/>
          <w:rFonts w:ascii="宋体" w:hAnsi="宋体"/>
          <w:color w:val="auto"/>
          <w:sz w:val="30"/>
          <w:szCs w:val="30"/>
          <w:highlight w:val="none"/>
        </w:rPr>
        <w:t xml:space="preserve">一、投标函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_Toc187920258 \h </w:instrText>
      </w:r>
      <w:r>
        <w:rPr>
          <w:color w:val="auto"/>
          <w:sz w:val="30"/>
          <w:szCs w:val="30"/>
          <w:highlight w:val="none"/>
        </w:rPr>
        <w:fldChar w:fldCharType="separate"/>
      </w:r>
      <w:r>
        <w:rPr>
          <w:color w:val="auto"/>
          <w:sz w:val="30"/>
          <w:szCs w:val="30"/>
          <w:highlight w:val="none"/>
        </w:rPr>
        <w:t xml:space="preserve">48</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"_Toc187920259" </w:instrText>
      </w:r>
      <w:r>
        <w:rPr>
          <w:color w:val="auto"/>
          <w:highlight w:val="none"/>
        </w:rPr>
        <w:fldChar w:fldCharType="separate"/>
      </w:r>
      <w:r>
        <w:rPr>
          <w:rStyle w:val="711"/>
          <w:rFonts w:ascii="宋体" w:hAnsi="宋体"/>
          <w:color w:val="auto"/>
          <w:sz w:val="30"/>
          <w:szCs w:val="30"/>
          <w:highlight w:val="none"/>
        </w:rPr>
        <w:t xml:space="preserve">二、开标一览表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_Toc187920259 \h </w:instrText>
      </w:r>
      <w:r>
        <w:rPr>
          <w:color w:val="auto"/>
          <w:sz w:val="30"/>
          <w:szCs w:val="30"/>
          <w:highlight w:val="none"/>
        </w:rPr>
        <w:fldChar w:fldCharType="separate"/>
      </w:r>
      <w:r>
        <w:rPr>
          <w:color w:val="auto"/>
          <w:sz w:val="30"/>
          <w:szCs w:val="30"/>
          <w:highlight w:val="none"/>
        </w:rPr>
        <w:t xml:space="preserve">49</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"_Toc187920260" </w:instrText>
      </w:r>
      <w:r>
        <w:rPr>
          <w:color w:val="auto"/>
          <w:highlight w:val="none"/>
        </w:rPr>
        <w:fldChar w:fldCharType="separate"/>
      </w:r>
      <w:r>
        <w:rPr>
          <w:rStyle w:val="711"/>
          <w:rFonts w:ascii="宋体" w:hAnsi="宋体"/>
          <w:color w:val="auto"/>
          <w:sz w:val="30"/>
          <w:szCs w:val="30"/>
          <w:highlight w:val="none"/>
        </w:rPr>
        <w:t xml:space="preserve">三、报价明细表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_Toc187920260 \h </w:instrText>
      </w:r>
      <w:r>
        <w:rPr>
          <w:color w:val="auto"/>
          <w:sz w:val="30"/>
          <w:szCs w:val="30"/>
          <w:highlight w:val="none"/>
        </w:rPr>
        <w:fldChar w:fldCharType="separate"/>
      </w:r>
      <w:r>
        <w:rPr>
          <w:color w:val="auto"/>
          <w:sz w:val="30"/>
          <w:szCs w:val="30"/>
          <w:highlight w:val="none"/>
        </w:rPr>
        <w:t xml:space="preserve">50</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"_Toc187920261" </w:instrText>
      </w:r>
      <w:r>
        <w:rPr>
          <w:color w:val="auto"/>
          <w:highlight w:val="none"/>
        </w:rPr>
        <w:fldChar w:fldCharType="separate"/>
      </w:r>
      <w:r>
        <w:rPr>
          <w:rStyle w:val="711"/>
          <w:rFonts w:ascii="宋体" w:hAnsi="宋体"/>
          <w:color w:val="auto"/>
          <w:sz w:val="30"/>
          <w:szCs w:val="30"/>
          <w:highlight w:val="none"/>
        </w:rPr>
        <w:t xml:space="preserve">四、技术参数响应及偏离表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_Toc187920261 \h </w:instrText>
      </w:r>
      <w:r>
        <w:rPr>
          <w:color w:val="auto"/>
          <w:sz w:val="30"/>
          <w:szCs w:val="30"/>
          <w:highlight w:val="none"/>
        </w:rPr>
        <w:fldChar w:fldCharType="separate"/>
      </w:r>
      <w:r>
        <w:rPr>
          <w:color w:val="auto"/>
          <w:sz w:val="30"/>
          <w:szCs w:val="30"/>
          <w:highlight w:val="none"/>
        </w:rPr>
        <w:t xml:space="preserve">51</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"_Toc187920262" </w:instrText>
      </w:r>
      <w:r>
        <w:rPr>
          <w:color w:val="auto"/>
          <w:highlight w:val="none"/>
        </w:rPr>
        <w:fldChar w:fldCharType="separate"/>
      </w:r>
      <w:r>
        <w:rPr>
          <w:rStyle w:val="711"/>
          <w:rFonts w:ascii="宋体" w:hAnsi="宋体"/>
          <w:color w:val="auto"/>
          <w:sz w:val="30"/>
          <w:szCs w:val="30"/>
          <w:highlight w:val="none"/>
        </w:rPr>
        <w:t xml:space="preserve">五、投标设备详细配置表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_Toc187920262 \h </w:instrText>
      </w:r>
      <w:r>
        <w:rPr>
          <w:color w:val="auto"/>
          <w:sz w:val="30"/>
          <w:szCs w:val="30"/>
          <w:highlight w:val="none"/>
        </w:rPr>
        <w:fldChar w:fldCharType="separate"/>
      </w:r>
      <w:r>
        <w:rPr>
          <w:color w:val="auto"/>
          <w:sz w:val="30"/>
          <w:szCs w:val="30"/>
          <w:highlight w:val="none"/>
        </w:rPr>
        <w:t xml:space="preserve">52</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"_Toc187920263" </w:instrText>
      </w:r>
      <w:r>
        <w:rPr>
          <w:color w:val="auto"/>
          <w:highlight w:val="none"/>
        </w:rPr>
        <w:fldChar w:fldCharType="separate"/>
      </w:r>
      <w:r>
        <w:rPr>
          <w:rStyle w:val="711"/>
          <w:rFonts w:ascii="宋体" w:hAnsi="宋体"/>
          <w:color w:val="auto"/>
          <w:sz w:val="30"/>
          <w:szCs w:val="30"/>
          <w:highlight w:val="none"/>
        </w:rPr>
        <w:t xml:space="preserve">六、投标设备综合性能及规格说明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_Toc187920263 \h </w:instrText>
      </w:r>
      <w:r>
        <w:rPr>
          <w:color w:val="auto"/>
          <w:sz w:val="30"/>
          <w:szCs w:val="30"/>
          <w:highlight w:val="none"/>
        </w:rPr>
        <w:fldChar w:fldCharType="separate"/>
      </w:r>
      <w:r>
        <w:rPr>
          <w:color w:val="auto"/>
          <w:sz w:val="30"/>
          <w:szCs w:val="30"/>
          <w:highlight w:val="none"/>
        </w:rPr>
        <w:t xml:space="preserve">53</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"_Toc187920264" </w:instrText>
      </w:r>
      <w:r>
        <w:rPr>
          <w:color w:val="auto"/>
          <w:highlight w:val="none"/>
        </w:rPr>
        <w:fldChar w:fldCharType="separate"/>
      </w:r>
      <w:r>
        <w:rPr>
          <w:rStyle w:val="711"/>
          <w:rFonts w:ascii="宋体" w:hAnsi="宋体"/>
          <w:color w:val="auto"/>
          <w:sz w:val="30"/>
          <w:szCs w:val="30"/>
          <w:highlight w:val="none"/>
        </w:rPr>
        <w:t xml:space="preserve">七、质量保证及售后服务承诺</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_Toc187920264 \h </w:instrText>
      </w:r>
      <w:r>
        <w:rPr>
          <w:color w:val="auto"/>
          <w:sz w:val="30"/>
          <w:szCs w:val="30"/>
          <w:highlight w:val="none"/>
        </w:rPr>
        <w:fldChar w:fldCharType="separate"/>
      </w:r>
      <w:r>
        <w:rPr>
          <w:color w:val="auto"/>
          <w:sz w:val="30"/>
          <w:szCs w:val="30"/>
          <w:highlight w:val="none"/>
        </w:rPr>
        <w:t xml:space="preserve">54</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"_Toc187920265" </w:instrText>
      </w:r>
      <w:r>
        <w:rPr>
          <w:color w:val="auto"/>
          <w:highlight w:val="none"/>
        </w:rPr>
        <w:fldChar w:fldCharType="separate"/>
      </w:r>
      <w:r>
        <w:rPr>
          <w:rStyle w:val="711"/>
          <w:rFonts w:ascii="宋体" w:hAnsi="宋体"/>
          <w:color w:val="auto"/>
          <w:sz w:val="30"/>
          <w:szCs w:val="30"/>
          <w:highlight w:val="none"/>
        </w:rPr>
        <w:t xml:space="preserve">八、商务条件响应及偏离表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_Toc187920265 \h </w:instrText>
      </w:r>
      <w:r>
        <w:rPr>
          <w:color w:val="auto"/>
          <w:sz w:val="30"/>
          <w:szCs w:val="30"/>
          <w:highlight w:val="none"/>
        </w:rPr>
        <w:fldChar w:fldCharType="separate"/>
      </w:r>
      <w:r>
        <w:rPr>
          <w:color w:val="auto"/>
          <w:sz w:val="30"/>
          <w:szCs w:val="30"/>
          <w:highlight w:val="none"/>
        </w:rPr>
        <w:t xml:space="preserve">55</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"_Toc187920266" </w:instrText>
      </w:r>
      <w:r>
        <w:rPr>
          <w:color w:val="auto"/>
          <w:highlight w:val="none"/>
        </w:rPr>
        <w:fldChar w:fldCharType="separate"/>
      </w:r>
      <w:r>
        <w:rPr>
          <w:rStyle w:val="711"/>
          <w:rFonts w:ascii="宋体" w:hAnsi="宋体"/>
          <w:color w:val="auto"/>
          <w:sz w:val="30"/>
          <w:szCs w:val="30"/>
          <w:highlight w:val="none"/>
        </w:rPr>
        <w:t xml:space="preserve">九、项目业绩一览表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_Toc187920266 \h </w:instrText>
      </w:r>
      <w:r>
        <w:rPr>
          <w:color w:val="auto"/>
          <w:sz w:val="30"/>
          <w:szCs w:val="30"/>
          <w:highlight w:val="none"/>
        </w:rPr>
        <w:fldChar w:fldCharType="separate"/>
      </w:r>
      <w:r>
        <w:rPr>
          <w:color w:val="auto"/>
          <w:sz w:val="30"/>
          <w:szCs w:val="30"/>
          <w:highlight w:val="none"/>
        </w:rPr>
        <w:t xml:space="preserve">56</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"_Toc187920267" </w:instrText>
      </w:r>
      <w:r>
        <w:rPr>
          <w:color w:val="auto"/>
          <w:highlight w:val="none"/>
        </w:rPr>
        <w:fldChar w:fldCharType="separate"/>
      </w:r>
      <w:r>
        <w:rPr>
          <w:rStyle w:val="711"/>
          <w:rFonts w:ascii="宋体" w:hAnsi="宋体"/>
          <w:color w:val="auto"/>
          <w:sz w:val="30"/>
          <w:szCs w:val="30"/>
          <w:highlight w:val="none"/>
        </w:rPr>
        <w:t xml:space="preserve">十、设备的安装、调试</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_Toc187920267 \h </w:instrText>
      </w:r>
      <w:r>
        <w:rPr>
          <w:color w:val="auto"/>
          <w:sz w:val="30"/>
          <w:szCs w:val="30"/>
          <w:highlight w:val="none"/>
        </w:rPr>
        <w:fldChar w:fldCharType="separate"/>
      </w:r>
      <w:r>
        <w:rPr>
          <w:color w:val="auto"/>
          <w:sz w:val="30"/>
          <w:szCs w:val="30"/>
          <w:highlight w:val="none"/>
        </w:rPr>
        <w:t xml:space="preserve">57</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"_Toc187920268" </w:instrText>
      </w:r>
      <w:r>
        <w:rPr>
          <w:color w:val="auto"/>
          <w:highlight w:val="none"/>
        </w:rPr>
        <w:fldChar w:fldCharType="separate"/>
      </w:r>
      <w:r>
        <w:rPr>
          <w:rStyle w:val="711"/>
          <w:rFonts w:ascii="宋体" w:hAnsi="宋体"/>
          <w:color w:val="auto"/>
          <w:sz w:val="30"/>
          <w:szCs w:val="30"/>
          <w:highlight w:val="none"/>
        </w:rPr>
        <w:t xml:space="preserve">十一、资格证明文件</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_Toc187920268 \h </w:instrText>
      </w:r>
      <w:r>
        <w:rPr>
          <w:color w:val="auto"/>
          <w:sz w:val="30"/>
          <w:szCs w:val="30"/>
          <w:highlight w:val="none"/>
        </w:rPr>
        <w:fldChar w:fldCharType="separate"/>
      </w:r>
      <w:r>
        <w:rPr>
          <w:color w:val="auto"/>
          <w:sz w:val="30"/>
          <w:szCs w:val="30"/>
          <w:highlight w:val="none"/>
        </w:rPr>
        <w:t xml:space="preserve">58</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"_Toc187920269" </w:instrText>
      </w:r>
      <w:r>
        <w:rPr>
          <w:color w:val="auto"/>
          <w:highlight w:val="none"/>
        </w:rPr>
        <w:fldChar w:fldCharType="separate"/>
      </w:r>
      <w:r>
        <w:rPr>
          <w:rStyle w:val="711"/>
          <w:rFonts w:ascii="宋体" w:hAnsi="宋体"/>
          <w:color w:val="auto"/>
          <w:sz w:val="30"/>
          <w:szCs w:val="30"/>
          <w:highlight w:val="none"/>
        </w:rPr>
        <w:t xml:space="preserve">附件一  法定代表人授权书</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_Toc187920269 \h </w:instrText>
      </w:r>
      <w:r>
        <w:rPr>
          <w:color w:val="auto"/>
          <w:sz w:val="30"/>
          <w:szCs w:val="30"/>
          <w:highlight w:val="none"/>
        </w:rPr>
        <w:fldChar w:fldCharType="separate"/>
      </w:r>
      <w:r>
        <w:rPr>
          <w:color w:val="auto"/>
          <w:sz w:val="30"/>
          <w:szCs w:val="30"/>
          <w:highlight w:val="none"/>
        </w:rPr>
        <w:t xml:space="preserve">59</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"_Toc187920270" </w:instrText>
      </w:r>
      <w:r>
        <w:rPr>
          <w:color w:val="auto"/>
          <w:highlight w:val="none"/>
        </w:rPr>
        <w:fldChar w:fldCharType="separate"/>
      </w:r>
      <w:r>
        <w:rPr>
          <w:rStyle w:val="711"/>
          <w:rFonts w:ascii="宋体" w:hAnsi="宋体"/>
          <w:color w:val="auto"/>
          <w:sz w:val="30"/>
          <w:szCs w:val="30"/>
          <w:highlight w:val="none"/>
        </w:rPr>
        <w:t xml:space="preserve">附件二  投标人资格声明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_Toc187920270 \h </w:instrText>
      </w:r>
      <w:r>
        <w:rPr>
          <w:color w:val="auto"/>
          <w:sz w:val="30"/>
          <w:szCs w:val="30"/>
          <w:highlight w:val="none"/>
        </w:rPr>
        <w:fldChar w:fldCharType="separate"/>
      </w:r>
      <w:r>
        <w:rPr>
          <w:color w:val="auto"/>
          <w:sz w:val="30"/>
          <w:szCs w:val="30"/>
          <w:highlight w:val="none"/>
        </w:rPr>
        <w:t xml:space="preserve">60</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"_Toc187920271" </w:instrText>
      </w:r>
      <w:r>
        <w:rPr>
          <w:color w:val="auto"/>
          <w:highlight w:val="none"/>
        </w:rPr>
        <w:fldChar w:fldCharType="separate"/>
      </w:r>
      <w:r>
        <w:rPr>
          <w:rStyle w:val="711"/>
          <w:rFonts w:ascii="宋体" w:hAnsi="宋体"/>
          <w:color w:val="auto"/>
          <w:sz w:val="30"/>
          <w:szCs w:val="30"/>
          <w:highlight w:val="none"/>
        </w:rPr>
        <w:t xml:space="preserve">附件三  投标保证承诺书</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_Toc187920271 \h </w:instrText>
      </w:r>
      <w:r>
        <w:rPr>
          <w:color w:val="auto"/>
          <w:sz w:val="30"/>
          <w:szCs w:val="30"/>
          <w:highlight w:val="none"/>
        </w:rPr>
        <w:fldChar w:fldCharType="separate"/>
      </w:r>
      <w:r>
        <w:rPr>
          <w:color w:val="auto"/>
          <w:sz w:val="30"/>
          <w:szCs w:val="30"/>
          <w:highlight w:val="none"/>
        </w:rPr>
        <w:t xml:space="preserve">62</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"_Toc187920272" </w:instrText>
      </w:r>
      <w:r>
        <w:rPr>
          <w:color w:val="auto"/>
          <w:highlight w:val="none"/>
        </w:rPr>
        <w:fldChar w:fldCharType="separate"/>
      </w:r>
      <w:r>
        <w:rPr>
          <w:rStyle w:val="711"/>
          <w:rFonts w:ascii="宋体" w:hAnsi="宋体"/>
          <w:color w:val="auto"/>
          <w:sz w:val="30"/>
          <w:szCs w:val="30"/>
          <w:highlight w:val="none"/>
        </w:rPr>
        <w:t xml:space="preserve">附件四  中小企业声明函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_Toc187920272 \h </w:instrText>
      </w:r>
      <w:r>
        <w:rPr>
          <w:color w:val="auto"/>
          <w:sz w:val="30"/>
          <w:szCs w:val="30"/>
          <w:highlight w:val="none"/>
        </w:rPr>
        <w:fldChar w:fldCharType="separate"/>
      </w:r>
      <w:r>
        <w:rPr>
          <w:color w:val="auto"/>
          <w:sz w:val="30"/>
          <w:szCs w:val="30"/>
          <w:highlight w:val="none"/>
        </w:rPr>
        <w:t xml:space="preserve">63</w:t>
      </w:r>
      <w:r>
        <w:rPr>
          <w:color w:val="auto"/>
          <w:sz w:val="30"/>
          <w:szCs w:val="30"/>
          <w:highlight w:val="none"/>
        </w:rPr>
        <w:fldChar w:fldCharType="end"/>
      </w:r>
      <w:r>
        <w:rPr>
          <w:color w:val="auto"/>
          <w:sz w:val="30"/>
          <w:szCs w:val="30"/>
          <w:highlight w:val="none"/>
        </w:rPr>
        <w:fldChar w:fldCharType="end"/>
      </w:r>
      <w:r/>
    </w:p>
    <w:p>
      <w:pPr>
        <w:pStyle w:val="69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"_Toc187920273" </w:instrText>
      </w:r>
      <w:r>
        <w:rPr>
          <w:color w:val="auto"/>
          <w:highlight w:val="none"/>
        </w:rPr>
        <w:fldChar w:fldCharType="separate"/>
      </w:r>
      <w:r>
        <w:rPr>
          <w:rStyle w:val="711"/>
          <w:rFonts w:ascii="宋体" w:hAnsi="宋体"/>
          <w:color w:val="auto"/>
          <w:sz w:val="30"/>
          <w:szCs w:val="30"/>
          <w:highlight w:val="none"/>
        </w:rPr>
        <w:t xml:space="preserve">附件五  残疾人福利性单位声明函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_Toc187920273 \h </w:instrText>
      </w:r>
      <w:r>
        <w:rPr>
          <w:color w:val="auto"/>
          <w:sz w:val="30"/>
          <w:szCs w:val="30"/>
          <w:highlight w:val="none"/>
        </w:rPr>
        <w:fldChar w:fldCharType="separate"/>
      </w:r>
      <w:r>
        <w:rPr>
          <w:color w:val="auto"/>
          <w:sz w:val="30"/>
          <w:szCs w:val="30"/>
          <w:highlight w:val="none"/>
        </w:rPr>
        <w:t xml:space="preserve">64</w:t>
      </w:r>
      <w:r>
        <w:rPr>
          <w:color w:val="auto"/>
          <w:sz w:val="30"/>
          <w:szCs w:val="30"/>
          <w:highlight w:val="none"/>
        </w:rPr>
        <w:fldChar w:fldCharType="end"/>
      </w:r>
      <w:r>
        <w:rPr>
          <w:color w:val="auto"/>
          <w:sz w:val="30"/>
          <w:szCs w:val="30"/>
          <w:highlight w:val="none"/>
        </w:rPr>
        <w:fldChar w:fldCharType="end"/>
      </w:r>
      <w:r/>
    </w:p>
    <w:p>
      <w:pPr>
        <w:pStyle w:val="653"/>
        <w:spacing w:line="400" w:lineRule="exact"/>
        <w:rPr>
          <w:b w:val="0"/>
          <w:color w:val="auto"/>
          <w:highlight w:val="none"/>
        </w:rPr>
      </w:pPr>
      <w:r>
        <w:rPr>
          <w:b w:val="0"/>
          <w:color w:val="auto"/>
          <w:sz w:val="30"/>
          <w:szCs w:val="30"/>
          <w:highlight w:val="none"/>
        </w:rPr>
        <w:fldChar w:fldCharType="end"/>
      </w:r>
      <w:r>
        <w:rPr>
          <w:b w:val="0"/>
          <w:color w:val="auto"/>
          <w:highlight w:val="none"/>
        </w:rPr>
        <w:br w:type="page" w:clear="all"/>
      </w:r>
      <w:bookmarkStart w:id="13" w:name="_Toc187920245"/>
      <w:r/>
      <w:bookmarkStart w:id="14" w:name="_Toc315868049"/>
      <w:r/>
      <w:bookmarkStart w:id="15" w:name="_Toc315875312"/>
      <w:r>
        <w:rPr>
          <w:b w:val="0"/>
          <w:color w:val="auto"/>
          <w:highlight w:val="none"/>
        </w:rPr>
        <w:t xml:space="preserve">第一章  投标邀请</w:t>
      </w:r>
      <w:bookmarkEnd w:id="12"/>
      <w:r/>
      <w:bookmarkEnd w:id="13"/>
      <w:r/>
      <w:bookmarkEnd w:id="14"/>
      <w:r/>
      <w:bookmarkEnd w:id="15"/>
      <w:r/>
      <w:r/>
    </w:p>
    <w:p>
      <w:pPr>
        <w:spacing w:line="440" w:lineRule="exact"/>
        <w:rPr>
          <w:rFonts w:ascii="宋体" w:hAnsi="宋体"/>
          <w:color w:val="auto"/>
          <w:sz w:val="24"/>
          <w:szCs w:val="24"/>
          <w:highlight w:val="none"/>
        </w:rPr>
      </w:pPr>
      <w:r/>
      <w:bookmarkStart w:id="16" w:name="_Hlt97715964"/>
      <w:r/>
      <w:bookmarkEnd w:id="16"/>
      <w:r/>
      <w:bookmarkStart w:id="17" w:name="_Toc158691766"/>
      <w:r/>
      <w:bookmarkStart w:id="18" w:name="_Toc315868050"/>
      <w:r/>
      <w:bookmarkStart w:id="19" w:name="_Toc315875313"/>
      <w:r>
        <w:rPr>
          <w:rFonts w:hint="eastAsia" w:ascii="宋体" w:hAnsi="宋体"/>
          <w:color w:val="auto"/>
          <w:sz w:val="24"/>
          <w:szCs w:val="24"/>
          <w:highlight w:val="none"/>
        </w:rPr>
        <w:t xml:space="preserve">一、项目基本情况</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JSZC-320581-SZWK-G2026-0065</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、项目名称：正电子发射及X射线计算机断层成像系统（PET/CT)</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3、采购方式：√公开招标 □竞争性谈判 □竞争性磋商□询价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4、预算金额：人民币25000000.00元整。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最高限价：人民币21000000.00元整。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5、采购需求：正电子发射及X射线计算机断层成像系统（PET/CT)由正电子发射断层成像（PET）和X 射线计算机体层成像（CT）扫描仪组成，均可独立成像。CT子系统临床适用于X射线体层成像。PET子系统临床适用于核医学成像，测量患者体内放射性药物分布，评价人体新陈代谢与生理功能。PET子系统还可以利用CT图像获得PET检查的快速衰减校正图以及PET和CT融合图像。具有资质的临床医生用于病灶的诊断和分期，评估器官功能，以及制定放射治疗计划。</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注：正电子发射及X射线计算机断层成像系统（PET/CT)1套及配套设备1批，不接受进口产品。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6、合同履行期限：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w:t>
      </w:r>
      <w:r>
        <w:rPr>
          <w:rFonts w:ascii="宋体" w:hAnsi="宋体"/>
          <w:color w:val="auto"/>
          <w:sz w:val="24"/>
          <w:szCs w:val="24"/>
          <w:highlight w:val="none"/>
        </w:rPr>
        <w:t xml:space="preserve">合同签订生效后</w:t>
      </w:r>
      <w:r>
        <w:rPr>
          <w:rFonts w:hint="eastAsia" w:ascii="宋体" w:hAnsi="宋体"/>
          <w:color w:val="auto"/>
          <w:sz w:val="24"/>
          <w:szCs w:val="24"/>
          <w:highlight w:val="none"/>
        </w:rPr>
        <w:t xml:space="preserve">，在收到采购方通知90天内交货</w:t>
      </w:r>
      <w:r>
        <w:rPr>
          <w:rFonts w:ascii="宋体" w:hAnsi="宋体"/>
          <w:color w:val="auto"/>
          <w:sz w:val="24"/>
          <w:szCs w:val="24"/>
          <w:highlight w:val="none"/>
        </w:rPr>
        <w:t xml:space="preserve">送至指定地点并安装调试完成</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6.2质保期：原厂质保≥3年（质保期自设备经验收合格之日起计算）。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6.3交货期：合同签订生效之后，产品在90天内交货并安装调试结束。</w:t>
      </w:r>
      <w:r/>
    </w:p>
    <w:p>
      <w:pPr>
        <w:ind w:firstLine="9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交货地点：医院指定地点。</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6.4验收标准：按采购要求进行验收。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7、本项目不接受联合体投标，不接受转包，分包。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、本项目的特定资格要求：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具有所投产品生产（经营）许可资格；</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具有《辐射安全许可证》。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3、落实政府釆购政策需满足的资格要求：</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本项目非专门面向中小企业采购项目，所属行业为工业。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4.3执行《关于贯彻执行绿色采购、促进残疾人就业和支持监狱企业发展有关政策的通知（苏财购〔2019〕10号）》的通知规定。</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1、时间：自招标公告发布之日起5个工作日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2、方式：网上报名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（2）登录报名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（3）在网上报名过程中如有疑问，请及时联系：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系统使用指导与咨询：联系电话：13914088964；18261002950（不见面项目）QQ：3048755361、895706745。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4、本项目采用网上投标电子评标方式。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1、提交投标文件截止时间：</w:t>
      </w:r>
      <w:r>
        <w:rPr>
          <w:rFonts w:hint="eastAsia" w:ascii="宋体" w:hAnsi="宋体"/>
          <w:color w:val="auto"/>
          <w:sz w:val="24"/>
          <w:szCs w:val="24"/>
          <w:highlight w:val="none"/>
          <w:lang w:eastAsia="zh-CN"/>
        </w:rPr>
        <w:t xml:space="preserve">2026年5月11日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2026年5月11日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2026年5月11日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：00（北京时间）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4、开标地点：苏采云系统网上开标大厅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7、请供应商确保电脑、系统及其他设备（视频输入输出设备等）无误，且开标直至项目结束始终保持系统在线状态。</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五</w:t>
      </w:r>
      <w:r>
        <w:rPr>
          <w:rFonts w:ascii="宋体" w:hAnsi="宋体"/>
          <w:color w:val="auto"/>
          <w:sz w:val="24"/>
          <w:szCs w:val="24"/>
          <w:highlight w:val="none"/>
        </w:rPr>
        <w:t xml:space="preserve">、公告</w:t>
      </w:r>
      <w:r>
        <w:rPr>
          <w:rFonts w:hint="eastAsia" w:ascii="宋体" w:hAnsi="宋体"/>
          <w:color w:val="auto"/>
          <w:sz w:val="24"/>
          <w:szCs w:val="24"/>
          <w:highlight w:val="none"/>
        </w:rPr>
        <w:t xml:space="preserve">期限</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六</w:t>
      </w:r>
      <w:r>
        <w:rPr>
          <w:rFonts w:ascii="宋体" w:hAnsi="宋体"/>
          <w:color w:val="auto"/>
          <w:sz w:val="24"/>
          <w:szCs w:val="24"/>
          <w:highlight w:val="none"/>
        </w:rPr>
        <w:t xml:space="preserve">、其他</w:t>
      </w:r>
      <w:r>
        <w:rPr>
          <w:rFonts w:hint="eastAsia" w:ascii="宋体" w:hAnsi="宋体"/>
          <w:color w:val="auto"/>
          <w:sz w:val="24"/>
          <w:szCs w:val="24"/>
          <w:highlight w:val="none"/>
        </w:rPr>
        <w:t xml:space="preserve">补充事宜</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1、有关本项目电子投标具体操作方法详见苏采云系统中的客户端使用说明和供应商《操作手册》。</w:t>
      </w:r>
      <w:r>
        <w:rPr>
          <w:color w:val="auto"/>
          <w:highlight w:val="none"/>
        </w:rPr>
        <w:fldChar w:fldCharType="begin"/>
      </w:r>
      <w:r>
        <w:rPr>
          <w:color w:val="auto"/>
          <w:highlight w:val="none"/>
        </w:rPr>
        <w:instrText xml:space="preserve"> HYPERLINK </w:instrText>
      </w:r>
      <w:r>
        <w:rPr>
          <w:color w:val="auto"/>
          <w:highlight w:val="none"/>
        </w:rPr>
        <w:fldChar w:fldCharType="separate"/>
      </w:r>
      <w:r>
        <w:rPr>
          <w:color w:val="auto"/>
          <w:highlight w:val="none"/>
        </w:rPr>
        <w:fldChar w:fldCharType="end"/>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r/>
    </w:p>
    <w:p>
      <w:pPr>
        <w:ind w:firstLine="480"/>
        <w:spacing w:line="440" w:lineRule="exact"/>
        <w:rPr>
          <w:rFonts w:ascii="宋体" w:hAnsi="宋体" w:cs="宋体"/>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、公告媒体：中国政府采购网、</w:t>
      </w:r>
      <w:r>
        <w:rPr>
          <w:rFonts w:hint="eastAsia" w:ascii="宋体" w:hAnsi="宋体" w:cs="宋体"/>
          <w:color w:val="auto"/>
          <w:sz w:val="24"/>
          <w:szCs w:val="24"/>
          <w:highlight w:val="none"/>
        </w:rPr>
        <w:t xml:space="preserve">江苏政府采购网、苏州市政府采购网</w:t>
      </w:r>
      <w:r>
        <w:rPr>
          <w:rFonts w:hint="eastAsia"/>
          <w:color w:val="auto"/>
          <w:sz w:val="24"/>
          <w:szCs w:val="24"/>
          <w:highlight w:val="none"/>
        </w:rPr>
        <w:t xml:space="preserve">。</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采购人：常熟市第二人民医院</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联系人：金明霞</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联系电话：0512-52277255</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联系地址：常熟市海虞南路68号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 址：苏州市干将西路1296号深业姑苏中心1幢17层</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联系方式：</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u w:val="single"/>
        </w:rPr>
      </w:pPr>
      <w:r>
        <w:rPr>
          <w:rFonts w:hint="eastAsia" w:ascii="宋体" w:hAnsi="宋体" w:cs="宋体"/>
          <w:color w:val="auto"/>
          <w:sz w:val="24"/>
          <w:szCs w:val="24"/>
          <w:highlight w:val="none"/>
        </w:rPr>
        <w:t xml:space="preserve">3、项目</w:t>
      </w:r>
      <w:r>
        <w:rPr>
          <w:rFonts w:ascii="宋体" w:hAnsi="宋体" w:cs="宋体"/>
          <w:color w:val="auto"/>
          <w:sz w:val="24"/>
          <w:szCs w:val="24"/>
          <w:highlight w:val="none"/>
        </w:rPr>
        <w:t xml:space="preserve">联系方式</w:t>
      </w:r>
      <w:r/>
    </w:p>
    <w:p>
      <w:pPr>
        <w:ind w:firstLine="480"/>
        <w:spacing w:line="440" w:lineRule="exact"/>
        <w:rPr>
          <w:rFonts w:hAnsi="宋体"/>
          <w:color w:val="auto"/>
          <w:sz w:val="24"/>
          <w:szCs w:val="24"/>
          <w:highlight w:val="none"/>
        </w:rPr>
      </w:pPr>
      <w:r>
        <w:rPr>
          <w:rFonts w:hint="eastAsia" w:ascii="宋体" w:hAnsi="宋体" w:cs="宋体"/>
          <w:color w:val="auto"/>
          <w:sz w:val="24"/>
          <w:szCs w:val="24"/>
          <w:highlight w:val="none"/>
        </w:rPr>
        <w:t xml:space="preserve">项目联系人：王仕倩、吴帆、叶钧</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 话：</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72"/>
        <w:spacing w:line="440" w:lineRule="exact"/>
        <w:rPr>
          <w:color w:val="auto"/>
          <w:highlight w:val="none"/>
        </w:rPr>
      </w:pPr>
      <w:r>
        <w:rPr>
          <w:color w:val="auto"/>
          <w:highlight w:val="none"/>
        </w:rPr>
      </w:r>
      <w:r/>
    </w:p>
    <w:p>
      <w:pPr>
        <w:ind w:right="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r/>
    </w:p>
    <w:p>
      <w:pPr>
        <w:ind w:right="480"/>
        <w:jc w:val="right"/>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53"/>
        <w:spacing w:line="440" w:lineRule="exact"/>
        <w:rPr>
          <w:b w:val="0"/>
          <w:color w:val="auto"/>
          <w:highlight w:val="none"/>
        </w:rPr>
      </w:pPr>
      <w:r>
        <w:rPr>
          <w:b w:val="0"/>
          <w:color w:val="auto"/>
          <w:highlight w:val="none"/>
        </w:rPr>
        <w:br w:type="page" w:clear="all"/>
      </w:r>
      <w:bookmarkStart w:id="20" w:name="_Toc187920246"/>
      <w:r>
        <w:rPr>
          <w:b w:val="0"/>
          <w:color w:val="auto"/>
          <w:highlight w:val="none"/>
        </w:rPr>
        <w:t xml:space="preserve">第二章  投标人须知</w:t>
      </w:r>
      <w:bookmarkEnd w:id="17"/>
      <w:r>
        <w:rPr>
          <w:b w:val="0"/>
          <w:color w:val="auto"/>
          <w:highlight w:val="none"/>
        </w:rPr>
        <w:t xml:space="preserve">专用条款</w:t>
      </w:r>
      <w:bookmarkEnd w:id="18"/>
      <w:r/>
      <w:bookmarkEnd w:id="19"/>
      <w:r/>
      <w:bookmarkEnd w:id="20"/>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7377"/>
      </w:tblGrid>
      <w:tr>
        <w:trPr>
          <w:trHeight w:val="635"/>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条款名称</w:t>
            </w:r>
            <w:r/>
          </w:p>
        </w:tc>
        <w:tc>
          <w:tcPr>
            <w:tcW w:w="737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内       容</w:t>
            </w:r>
            <w:r/>
          </w:p>
        </w:tc>
      </w:tr>
      <w:tr>
        <w:trPr>
          <w:trHeight w:val="673"/>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项目名称及编号</w:t>
            </w:r>
            <w:r/>
          </w:p>
        </w:tc>
        <w:tc>
          <w:tcPr>
            <w:tcW w:w="7377" w:type="dxa"/>
            <w:vAlign w:val="center"/>
            <w:textDirection w:val="lrTb"/>
            <w:noWrap w:val="false"/>
          </w:tcPr>
          <w:p>
            <w:pPr>
              <w:rPr>
                <w:rFonts w:ascii="宋体" w:hAnsi="宋体"/>
                <w:color w:val="auto"/>
                <w:sz w:val="24"/>
                <w:szCs w:val="24"/>
                <w:highlight w:val="none"/>
                <w:u w:val="single"/>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正电子发射及X射线计算机断层成像系统（PET/CT)</w:t>
            </w:r>
            <w:r/>
          </w:p>
          <w:p>
            <w:pPr>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JSZC-320581-SZWK-G2026-0065</w:t>
            </w:r>
            <w:r/>
          </w:p>
        </w:tc>
      </w:tr>
      <w:tr>
        <w:trPr>
          <w:trHeight w:val="2710"/>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lang w:val="zh-CN"/>
              </w:rPr>
              <w:t xml:space="preserve">电子投标文件制作要求</w:t>
            </w:r>
            <w:r/>
          </w:p>
        </w:tc>
        <w:tc>
          <w:tcPr>
            <w:tcW w:w="7377" w:type="dxa"/>
            <w:vAlign w:val="center"/>
            <w:textDirection w:val="lrTb"/>
            <w:noWrap w:val="false"/>
          </w:tcPr>
          <w:p>
            <w:pPr>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电子投标文件</w:t>
            </w:r>
            <w:r>
              <w:rPr>
                <w:rFonts w:hint="eastAsia" w:ascii="宋体" w:hAnsi="宋体"/>
                <w:bCs/>
                <w:color w:val="auto"/>
                <w:sz w:val="24"/>
                <w:szCs w:val="24"/>
                <w:highlight w:val="none"/>
              </w:rPr>
              <w:t xml:space="preserve">制作</w:t>
            </w:r>
            <w:r>
              <w:rPr>
                <w:rFonts w:hint="eastAsia" w:ascii="宋体" w:hAnsi="宋体"/>
                <w:bCs/>
                <w:color w:val="auto"/>
                <w:sz w:val="24"/>
                <w:szCs w:val="24"/>
                <w:highlight w:val="none"/>
                <w:lang w:val="zh-CN"/>
              </w:rPr>
              <w:t xml:space="preserve">要求</w:t>
            </w:r>
            <w:r/>
          </w:p>
          <w:p>
            <w:pPr>
              <w:rPr>
                <w:rFonts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rPr>
                <w:rFonts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rPr>
                <w:rFonts w:ascii="宋体" w:hAnsi="宋体"/>
                <w:color w:val="auto"/>
                <w:sz w:val="24"/>
                <w:szCs w:val="24"/>
                <w:highlight w:val="none"/>
              </w:rPr>
            </w:pPr>
            <w:r>
              <w:rPr>
                <w:rFonts w:hint="eastAsia" w:ascii="宋体" w:hAnsi="宋体"/>
                <w:color w:val="auto"/>
                <w:sz w:val="24"/>
                <w:szCs w:val="24"/>
                <w:highlight w:val="none"/>
              </w:rPr>
              <w:t xml:space="preserve">供应商应充分考虑到网络环境、网络带宽等风险因素，如因供应商自身原因造成的电子投标文件上传不成功由供应商自行承担全部责任。</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lang w:val="zh-CN"/>
              </w:rPr>
              <w:t xml:space="preserve">电子投标文件解密开始时间</w:t>
            </w:r>
            <w:r/>
          </w:p>
        </w:tc>
        <w:tc>
          <w:tcPr>
            <w:tcW w:w="7377"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lang w:eastAsia="zh-CN"/>
              </w:rPr>
              <w:t xml:space="preserve">2026年5月11日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：00（北京时间）</w:t>
            </w:r>
            <w:r/>
          </w:p>
        </w:tc>
      </w:tr>
      <w:tr>
        <w:trPr>
          <w:trHeight w:val="415"/>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559" w:type="dxa"/>
            <w:vAlign w:val="center"/>
            <w:textDirection w:val="lrTb"/>
            <w:noWrap w:val="false"/>
          </w:tcPr>
          <w:p>
            <w:pPr>
              <w:jc w:val="center"/>
              <w:spacing w:line="40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开标时间</w:t>
            </w:r>
            <w:r/>
          </w:p>
          <w:p>
            <w:pPr>
              <w:jc w:val="center"/>
              <w:rPr>
                <w:rFonts w:ascii="宋体" w:hAnsi="宋体" w:cs="宋体"/>
                <w:color w:val="auto"/>
                <w:sz w:val="24"/>
                <w:szCs w:val="24"/>
                <w:highlight w:val="none"/>
                <w:lang w:val="zh-CN"/>
              </w:rPr>
            </w:pPr>
            <w:r>
              <w:rPr>
                <w:rFonts w:hint="eastAsia" w:ascii="宋体" w:hAnsi="宋体"/>
                <w:color w:val="auto"/>
                <w:sz w:val="24"/>
                <w:szCs w:val="24"/>
                <w:highlight w:val="none"/>
                <w:lang w:val="zh-CN"/>
              </w:rPr>
              <w:t xml:space="preserve">地点</w:t>
            </w:r>
            <w:r/>
          </w:p>
        </w:tc>
        <w:tc>
          <w:tcPr>
            <w:tcW w:w="7377" w:type="dxa"/>
            <w:vAlign w:val="center"/>
            <w:textDirection w:val="lrTb"/>
            <w:noWrap w:val="false"/>
          </w:tcPr>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时间：</w:t>
            </w:r>
            <w:r>
              <w:rPr>
                <w:rFonts w:hint="eastAsia" w:ascii="宋体" w:hAnsi="宋体"/>
                <w:color w:val="auto"/>
                <w:sz w:val="24"/>
                <w:szCs w:val="24"/>
                <w:highlight w:val="none"/>
                <w:lang w:eastAsia="zh-CN"/>
              </w:rPr>
              <w:t xml:space="preserve">2026年5月11日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：00</w:t>
            </w:r>
            <w:r>
              <w:rPr>
                <w:rFonts w:hint="eastAsia" w:ascii="宋体" w:hAnsi="宋体"/>
                <w:color w:val="auto"/>
                <w:sz w:val="24"/>
                <w:szCs w:val="24"/>
                <w:highlight w:val="none"/>
                <w:lang w:val="zh-CN"/>
              </w:rPr>
              <w:t xml:space="preserve">（北京时间）</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开标地点：苏采云政府采购一体化平台开标大厅（网上不见面开标）</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请供应商确保电脑、系统及其他设备（视频输入输出设备等）无误，且开启直至项目结束始终保持系统在线状态。</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评标地点：常熟市香山北路9号三楼公共资源交易中心开标室（投标人无需到场）</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w:t>
            </w:r>
            <w:r/>
          </w:p>
          <w:p>
            <w:pPr>
              <w:jc w:val="center"/>
              <w:rPr>
                <w:rFonts w:ascii="宋体" w:hAnsi="宋体"/>
                <w:color w:val="auto"/>
                <w:sz w:val="24"/>
                <w:szCs w:val="24"/>
                <w:highlight w:val="none"/>
              </w:rPr>
            </w:pPr>
            <w:r>
              <w:rPr>
                <w:rFonts w:ascii="宋体" w:hAnsi="宋体"/>
                <w:color w:val="auto"/>
                <w:sz w:val="24"/>
                <w:szCs w:val="24"/>
                <w:highlight w:val="none"/>
              </w:rPr>
              <w:t xml:space="preserve">保证金</w:t>
            </w:r>
            <w:r/>
          </w:p>
        </w:tc>
        <w:tc>
          <w:tcPr>
            <w:tcW w:w="7377" w:type="dxa"/>
            <w:vAlign w:val="center"/>
            <w:textDirection w:val="lrTb"/>
            <w:noWrap w:val="false"/>
          </w:tcPr>
          <w:p>
            <w:pPr>
              <w:rPr>
                <w:rFonts w:ascii="宋体" w:hAnsi="宋体"/>
                <w:color w:val="auto"/>
                <w:highlight w:val="none"/>
              </w:rPr>
            </w:pPr>
            <w:r>
              <w:rPr>
                <w:rFonts w:ascii="宋体" w:hAnsi="宋体"/>
                <w:color w:val="auto"/>
                <w:sz w:val="24"/>
                <w:szCs w:val="24"/>
                <w:highlight w:val="none"/>
              </w:rPr>
              <w:t xml:space="preserve">本项目不收取投标保证金</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履约</w:t>
            </w:r>
            <w:r/>
          </w:p>
          <w:p>
            <w:pPr>
              <w:jc w:val="center"/>
              <w:rPr>
                <w:rFonts w:ascii="宋体" w:hAnsi="宋体"/>
                <w:color w:val="auto"/>
                <w:sz w:val="24"/>
                <w:szCs w:val="24"/>
                <w:highlight w:val="none"/>
              </w:rPr>
            </w:pPr>
            <w:r>
              <w:rPr>
                <w:rFonts w:ascii="宋体" w:hAnsi="宋体"/>
                <w:color w:val="auto"/>
                <w:sz w:val="24"/>
                <w:szCs w:val="24"/>
                <w:highlight w:val="none"/>
              </w:rPr>
              <w:t xml:space="preserve">保证金</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本项目不收取履约保证金</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投标有效期</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自投标截止之日起六十（60）天</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中标</w:t>
            </w:r>
            <w:r/>
          </w:p>
          <w:p>
            <w:pPr>
              <w:jc w:val="center"/>
              <w:rPr>
                <w:rFonts w:ascii="宋体" w:hAnsi="宋体"/>
                <w:color w:val="auto"/>
                <w:sz w:val="18"/>
                <w:szCs w:val="18"/>
                <w:highlight w:val="none"/>
              </w:rPr>
            </w:pPr>
            <w:r>
              <w:rPr>
                <w:rFonts w:ascii="宋体" w:hAnsi="宋体"/>
                <w:color w:val="auto"/>
                <w:sz w:val="24"/>
                <w:szCs w:val="24"/>
                <w:highlight w:val="none"/>
              </w:rPr>
              <w:t xml:space="preserve">服务费</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供应商自行承担所有与准备和参加投标有关的一切费用；本次采购项目中标服务费由中标供应商支付。在领取中标通知书和合同书时须向采购代理机构支付中标服务费</w:t>
            </w:r>
            <w:r>
              <w:rPr>
                <w:rFonts w:hint="eastAsia" w:ascii="宋体" w:hAnsi="宋体"/>
                <w:color w:val="auto"/>
                <w:sz w:val="24"/>
                <w:szCs w:val="24"/>
                <w:highlight w:val="none"/>
              </w:rPr>
              <w:t xml:space="preserve">。</w:t>
            </w:r>
            <w:r/>
          </w:p>
          <w:p>
            <w:pPr>
              <w:rPr>
                <w:rFonts w:asciiTheme="minorEastAsia" w:hAnsiTheme="minorEastAsia" w:eastAsiaTheme="minorEastAsia"/>
                <w:color w:val="auto"/>
                <w:sz w:val="24"/>
                <w:szCs w:val="24"/>
                <w:highlight w:val="none"/>
              </w:rPr>
            </w:pPr>
            <w:r>
              <w:rPr>
                <w:rFonts w:ascii="宋体" w:hAnsi="宋体"/>
                <w:color w:val="auto"/>
                <w:sz w:val="24"/>
                <w:szCs w:val="24"/>
                <w:highlight w:val="none"/>
              </w:rPr>
              <w:t xml:space="preserve">收费标准：</w:t>
            </w:r>
            <w:r>
              <w:rPr>
                <w:rFonts w:asciiTheme="minorEastAsia" w:hAnsiTheme="minorEastAsia" w:eastAsiaTheme="minorEastAsia"/>
                <w:color w:val="auto"/>
                <w:sz w:val="24"/>
                <w:szCs w:val="24"/>
                <w:highlight w:val="none"/>
              </w:rPr>
              <w:t xml:space="preserve">预算金额的100万及以下部分费率为1.</w:t>
            </w:r>
            <w:r>
              <w:rPr>
                <w:rFonts w:hint="eastAsia" w:asciiTheme="minorEastAsia" w:hAnsiTheme="minorEastAsia" w:eastAsiaTheme="minorEastAsia"/>
                <w:color w:val="auto"/>
                <w:sz w:val="24"/>
                <w:szCs w:val="24"/>
                <w:highlight w:val="none"/>
              </w:rPr>
              <w:t xml:space="preserve">05</w:t>
            </w:r>
            <w:r>
              <w:rPr>
                <w:rFonts w:asciiTheme="minorEastAsia" w:hAnsiTheme="minorEastAsia" w:eastAsiaTheme="minorEastAsia"/>
                <w:color w:val="auto"/>
                <w:sz w:val="24"/>
                <w:szCs w:val="24"/>
                <w:highlight w:val="none"/>
              </w:rPr>
              <w:t xml:space="preserve">%；</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          预算金额的100万以上－500万部分费率为</w:t>
            </w:r>
            <w:r>
              <w:rPr>
                <w:rFonts w:hint="eastAsia" w:asciiTheme="minorEastAsia" w:hAnsiTheme="minorEastAsia" w:eastAsiaTheme="minorEastAsia"/>
                <w:color w:val="auto"/>
                <w:sz w:val="24"/>
                <w:szCs w:val="24"/>
                <w:highlight w:val="none"/>
              </w:rPr>
              <w:t xml:space="preserve">0.77</w:t>
            </w:r>
            <w:r>
              <w:rPr>
                <w:rFonts w:asciiTheme="minorEastAsia" w:hAnsiTheme="minorEastAsia" w:eastAsiaTheme="minorEastAsia"/>
                <w:color w:val="auto"/>
                <w:sz w:val="24"/>
                <w:szCs w:val="24"/>
                <w:highlight w:val="none"/>
              </w:rPr>
              <w:t xml:space="preserve">%。</w:t>
            </w:r>
            <w:r/>
          </w:p>
          <w:p>
            <w:pPr>
              <w:pStyle w:val="672"/>
              <w:ind w:firstLine="120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预算金额的</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00万以上－</w:t>
            </w:r>
            <w:r>
              <w:rPr>
                <w:rFonts w:hint="eastAsia" w:asciiTheme="minorEastAsia" w:hAnsiTheme="minorEastAsia" w:eastAsiaTheme="minorEastAsia"/>
                <w:color w:val="auto"/>
                <w:sz w:val="24"/>
                <w:szCs w:val="24"/>
                <w:highlight w:val="none"/>
              </w:rPr>
              <w:t xml:space="preserve">10</w:t>
            </w:r>
            <w:r>
              <w:rPr>
                <w:rFonts w:asciiTheme="minorEastAsia" w:hAnsiTheme="minorEastAsia" w:eastAsiaTheme="minorEastAsia"/>
                <w:color w:val="auto"/>
                <w:sz w:val="24"/>
                <w:szCs w:val="24"/>
                <w:highlight w:val="none"/>
              </w:rPr>
              <w:t xml:space="preserve">00万部分费率为</w:t>
            </w:r>
            <w:r>
              <w:rPr>
                <w:rFonts w:hint="eastAsia" w:asciiTheme="minorEastAsia" w:hAnsiTheme="minorEastAsia" w:eastAsiaTheme="minorEastAsia"/>
                <w:color w:val="auto"/>
                <w:sz w:val="24"/>
                <w:szCs w:val="24"/>
                <w:highlight w:val="none"/>
              </w:rPr>
              <w:t xml:space="preserve">0.56</w:t>
            </w:r>
            <w:r>
              <w:rPr>
                <w:rFonts w:asciiTheme="minorEastAsia" w:hAnsiTheme="minorEastAsia" w:eastAsiaTheme="minorEastAsia"/>
                <w:color w:val="auto"/>
                <w:sz w:val="24"/>
                <w:szCs w:val="24"/>
                <w:highlight w:val="none"/>
              </w:rPr>
              <w:t xml:space="preserve">%。</w:t>
            </w:r>
            <w:r/>
          </w:p>
          <w:p>
            <w:pPr>
              <w:pStyle w:val="672"/>
              <w:ind w:firstLine="1200"/>
              <w:rPr>
                <w:rFonts w:asciiTheme="minorEastAsia" w:hAnsiTheme="minorEastAsia" w:eastAsiaTheme="minorEastAsia"/>
                <w:color w:val="auto"/>
                <w:highlight w:val="none"/>
              </w:rPr>
            </w:pPr>
            <w:r>
              <w:rPr>
                <w:rFonts w:asciiTheme="minorEastAsia" w:hAnsiTheme="minorEastAsia" w:eastAsiaTheme="minorEastAsia"/>
                <w:color w:val="auto"/>
                <w:sz w:val="24"/>
                <w:szCs w:val="24"/>
                <w:highlight w:val="none"/>
              </w:rPr>
              <w:t xml:space="preserve">预算金额的10</w:t>
            </w:r>
            <w:r>
              <w:rPr>
                <w:rFonts w:hint="eastAsia" w:asciiTheme="minorEastAsia" w:hAnsiTheme="minorEastAsia" w:eastAsiaTheme="minorEastAsia"/>
                <w:color w:val="auto"/>
                <w:sz w:val="24"/>
                <w:szCs w:val="24"/>
                <w:highlight w:val="none"/>
              </w:rPr>
              <w:t xml:space="preserve">0</w:t>
            </w:r>
            <w:r>
              <w:rPr>
                <w:rFonts w:asciiTheme="minorEastAsia" w:hAnsiTheme="minorEastAsia" w:eastAsiaTheme="minorEastAsia"/>
                <w:color w:val="auto"/>
                <w:sz w:val="24"/>
                <w:szCs w:val="24"/>
                <w:highlight w:val="none"/>
              </w:rPr>
              <w:t xml:space="preserve">0万以上－50</w:t>
            </w:r>
            <w:r>
              <w:rPr>
                <w:rFonts w:hint="eastAsia" w:asciiTheme="minorEastAsia" w:hAnsiTheme="minorEastAsia" w:eastAsiaTheme="minorEastAsia"/>
                <w:color w:val="auto"/>
                <w:sz w:val="24"/>
                <w:szCs w:val="24"/>
                <w:highlight w:val="none"/>
              </w:rPr>
              <w:t xml:space="preserve">0</w:t>
            </w:r>
            <w:r>
              <w:rPr>
                <w:rFonts w:asciiTheme="minorEastAsia" w:hAnsiTheme="minorEastAsia" w:eastAsiaTheme="minorEastAsia"/>
                <w:color w:val="auto"/>
                <w:sz w:val="24"/>
                <w:szCs w:val="24"/>
                <w:highlight w:val="none"/>
              </w:rPr>
              <w:t xml:space="preserve">0万部分费率为</w:t>
            </w:r>
            <w:r>
              <w:rPr>
                <w:rFonts w:hint="eastAsia" w:asciiTheme="minorEastAsia" w:hAnsiTheme="minorEastAsia" w:eastAsiaTheme="minorEastAsia"/>
                <w:color w:val="auto"/>
                <w:sz w:val="24"/>
                <w:szCs w:val="24"/>
                <w:highlight w:val="none"/>
              </w:rPr>
              <w:t xml:space="preserve">0.35</w:t>
            </w:r>
            <w:r>
              <w:rPr>
                <w:rFonts w:asciiTheme="minorEastAsia" w:hAnsiTheme="minorEastAsia" w:eastAsiaTheme="minorEastAsia"/>
                <w:color w:val="auto"/>
                <w:sz w:val="24"/>
                <w:szCs w:val="24"/>
                <w:highlight w:val="none"/>
              </w:rPr>
              <w:t xml:space="preserve">%。</w:t>
            </w:r>
            <w:r/>
          </w:p>
          <w:p>
            <w:pPr>
              <w:rPr>
                <w:rFonts w:ascii="宋体" w:hAnsi="宋体"/>
                <w:color w:val="auto"/>
                <w:sz w:val="24"/>
                <w:szCs w:val="24"/>
                <w:highlight w:val="none"/>
              </w:rPr>
            </w:pPr>
            <w:r>
              <w:rPr>
                <w:rFonts w:hint="eastAsia" w:ascii="宋体" w:hAnsi="宋体"/>
                <w:color w:val="auto"/>
                <w:sz w:val="24"/>
                <w:szCs w:val="24"/>
                <w:highlight w:val="none"/>
              </w:rPr>
              <w:t xml:space="preserve">服务费交纳账户：苏州市卫康招投标咨询服务有限公司常熟分公司</w:t>
            </w:r>
            <w:r/>
          </w:p>
          <w:p>
            <w:pPr>
              <w:rPr>
                <w:rFonts w:ascii="宋体" w:hAnsi="宋体"/>
                <w:color w:val="auto"/>
                <w:sz w:val="24"/>
                <w:szCs w:val="24"/>
                <w:highlight w:val="none"/>
              </w:rPr>
            </w:pPr>
            <w:r>
              <w:rPr>
                <w:rFonts w:hint="eastAsia" w:ascii="宋体" w:hAnsi="宋体"/>
                <w:color w:val="auto"/>
                <w:sz w:val="24"/>
                <w:szCs w:val="24"/>
                <w:highlight w:val="none"/>
              </w:rPr>
              <w:t xml:space="preserve">账号：</w:t>
            </w:r>
            <w:r>
              <w:rPr>
                <w:rFonts w:ascii="宋体" w:hAnsi="宋体"/>
                <w:color w:val="auto"/>
                <w:sz w:val="24"/>
                <w:szCs w:val="24"/>
                <w:highlight w:val="none"/>
              </w:rPr>
              <w:t xml:space="preserve">10524001040012341</w:t>
            </w:r>
            <w:r/>
          </w:p>
          <w:p>
            <w:pPr>
              <w:rPr>
                <w:rFonts w:ascii="宋体" w:hAnsi="宋体"/>
                <w:color w:val="auto"/>
                <w:sz w:val="24"/>
                <w:szCs w:val="24"/>
                <w:highlight w:val="none"/>
              </w:rPr>
            </w:pPr>
            <w:r>
              <w:rPr>
                <w:rFonts w:hint="eastAsia" w:ascii="宋体" w:hAnsi="宋体"/>
                <w:color w:val="auto"/>
                <w:sz w:val="24"/>
                <w:szCs w:val="24"/>
                <w:highlight w:val="none"/>
              </w:rPr>
              <w:t xml:space="preserve">开户银行：中国农业银行股份有限公司常熟虹桥支行</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信用查询</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采购代理机构将对投标人的诚信记录进行查询，如存在应依法拒绝供应商参加政府采购的失信信息的，作无效投标处理。</w:t>
            </w:r>
            <w:r/>
          </w:p>
        </w:tc>
      </w:tr>
      <w:tr>
        <w:trPr>
          <w:trHeight w:val="454"/>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注意事项</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（1）本项目不接受联合体投标。</w:t>
            </w:r>
            <w:r/>
          </w:p>
          <w:p>
            <w:pPr>
              <w:rPr>
                <w:rFonts w:ascii="宋体" w:hAnsi="宋体"/>
                <w:color w:val="auto"/>
                <w:sz w:val="24"/>
                <w:szCs w:val="24"/>
                <w:highlight w:val="none"/>
              </w:rPr>
            </w:pPr>
            <w:r>
              <w:rPr>
                <w:rFonts w:ascii="宋体" w:hAnsi="宋体"/>
                <w:color w:val="auto"/>
                <w:sz w:val="24"/>
                <w:szCs w:val="24"/>
                <w:highlight w:val="none"/>
              </w:rPr>
              <w:t xml:space="preserve">（2）法定代表人为同一人的不同单位，不得参加同一项目投标或未划分分包的同一投标项目投标，违反此规定的投标作无效投标处理。</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投标人</w:t>
            </w:r>
            <w:r/>
          </w:p>
          <w:p>
            <w:pPr>
              <w:jc w:val="center"/>
              <w:rPr>
                <w:rFonts w:ascii="宋体" w:hAnsi="宋体"/>
                <w:color w:val="auto"/>
                <w:sz w:val="24"/>
                <w:szCs w:val="24"/>
                <w:highlight w:val="none"/>
              </w:rPr>
            </w:pPr>
            <w:r>
              <w:rPr>
                <w:rFonts w:ascii="宋体" w:hAnsi="宋体"/>
                <w:color w:val="auto"/>
                <w:sz w:val="24"/>
                <w:szCs w:val="24"/>
                <w:highlight w:val="none"/>
              </w:rPr>
              <w:t xml:space="preserve">资格要求</w:t>
            </w:r>
            <w:r/>
          </w:p>
        </w:tc>
        <w:tc>
          <w:tcPr>
            <w:tcW w:w="7377"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t xml:space="preserve">（1）具有独立承担民事责任的能力；</w:t>
            </w:r>
            <w:r/>
          </w:p>
          <w:p>
            <w:pPr>
              <w:jc w:val="left"/>
              <w:rPr>
                <w:rFonts w:ascii="宋体" w:hAnsi="宋体"/>
                <w:color w:val="auto"/>
                <w:sz w:val="24"/>
                <w:szCs w:val="24"/>
                <w:highlight w:val="none"/>
              </w:rPr>
            </w:pPr>
            <w:r>
              <w:rPr>
                <w:rFonts w:ascii="宋体" w:hAnsi="宋体"/>
                <w:color w:val="auto"/>
                <w:sz w:val="24"/>
                <w:szCs w:val="24"/>
                <w:highlight w:val="none"/>
              </w:rPr>
              <w:t xml:space="preserve">（2）具有良好的商业信誉和健全的财务会计制度；</w:t>
            </w:r>
            <w:r/>
          </w:p>
          <w:p>
            <w:pPr>
              <w:jc w:val="left"/>
              <w:rPr>
                <w:rFonts w:ascii="宋体" w:hAnsi="宋体"/>
                <w:color w:val="auto"/>
                <w:sz w:val="24"/>
                <w:szCs w:val="24"/>
                <w:highlight w:val="none"/>
              </w:rPr>
            </w:pPr>
            <w:r>
              <w:rPr>
                <w:rFonts w:ascii="宋体" w:hAnsi="宋体"/>
                <w:color w:val="auto"/>
                <w:sz w:val="24"/>
                <w:szCs w:val="24"/>
                <w:highlight w:val="none"/>
              </w:rPr>
              <w:t xml:space="preserve">（3）具有履行合同所必需的设备和专业技术能力；</w:t>
            </w:r>
            <w:r/>
          </w:p>
          <w:p>
            <w:pPr>
              <w:jc w:val="left"/>
              <w:rPr>
                <w:rFonts w:ascii="宋体" w:hAnsi="宋体"/>
                <w:color w:val="auto"/>
                <w:sz w:val="24"/>
                <w:szCs w:val="24"/>
                <w:highlight w:val="none"/>
              </w:rPr>
            </w:pPr>
            <w:r>
              <w:rPr>
                <w:rFonts w:ascii="宋体" w:hAnsi="宋体"/>
                <w:color w:val="auto"/>
                <w:sz w:val="24"/>
                <w:szCs w:val="24"/>
                <w:highlight w:val="none"/>
              </w:rPr>
              <w:t xml:space="preserve">（4）有依法缴纳税收和社会保障资金的良好记录；</w:t>
            </w:r>
            <w:r/>
          </w:p>
          <w:p>
            <w:pPr>
              <w:jc w:val="left"/>
              <w:rPr>
                <w:rFonts w:ascii="宋体" w:hAnsi="宋体"/>
                <w:color w:val="auto"/>
                <w:sz w:val="24"/>
                <w:szCs w:val="24"/>
                <w:highlight w:val="none"/>
              </w:rPr>
            </w:pPr>
            <w:r>
              <w:rPr>
                <w:rFonts w:ascii="宋体" w:hAnsi="宋体"/>
                <w:color w:val="auto"/>
                <w:sz w:val="24"/>
                <w:szCs w:val="24"/>
                <w:highlight w:val="none"/>
              </w:rPr>
              <w:t xml:space="preserve">（5）参加政府采购活动前三年内，在经营活动中没有重大违法记录；</w:t>
            </w:r>
            <w:r/>
          </w:p>
          <w:p>
            <w:pPr>
              <w:jc w:val="left"/>
              <w:rPr>
                <w:rFonts w:ascii="宋体" w:hAnsi="宋体"/>
                <w:color w:val="auto"/>
                <w:sz w:val="24"/>
                <w:szCs w:val="24"/>
                <w:highlight w:val="none"/>
              </w:rPr>
            </w:pPr>
            <w:r>
              <w:rPr>
                <w:rFonts w:ascii="宋体" w:hAnsi="宋体"/>
                <w:color w:val="auto"/>
                <w:sz w:val="24"/>
                <w:szCs w:val="24"/>
                <w:highlight w:val="none"/>
              </w:rPr>
              <w:t xml:space="preserve">（6）具有所投产品生产（经营）许可资格。</w:t>
            </w:r>
            <w:r/>
          </w:p>
          <w:p>
            <w:pPr>
              <w:pStyle w:val="672"/>
              <w:rPr>
                <w:rFonts w:ascii="宋体" w:hAnsi="宋体" w:eastAsia="宋体" w:cs="Times New Roman"/>
                <w:color w:val="auto"/>
                <w:sz w:val="24"/>
                <w:szCs w:val="24"/>
                <w:highlight w:val="none"/>
                <w:lang w:val="en-US" w:eastAsia="zh-CN" w:bidi="ar-SA"/>
              </w:rPr>
            </w:pPr>
            <w:r>
              <w:rPr>
                <w:rFonts w:ascii="宋体" w:hAnsi="宋体"/>
                <w:color w:val="auto"/>
                <w:sz w:val="24"/>
                <w:szCs w:val="24"/>
                <w:highlight w:val="none"/>
              </w:rPr>
              <w:t xml:space="preserve">（7）</w:t>
            </w:r>
            <w:r>
              <w:rPr>
                <w:rFonts w:hint="eastAsia" w:ascii="宋体" w:hAnsi="宋体" w:eastAsia="宋体" w:cs="Times New Roman"/>
                <w:color w:val="auto"/>
                <w:sz w:val="24"/>
                <w:szCs w:val="24"/>
                <w:highlight w:val="none"/>
                <w:lang w:val="en-US" w:eastAsia="zh-CN" w:bidi="ar-SA"/>
              </w:rPr>
              <w:t xml:space="preserve">具有《辐射安全许可证》。</w:t>
            </w:r>
            <w:r/>
          </w:p>
          <w:p>
            <w:pPr>
              <w:jc w:val="left"/>
              <w:rPr>
                <w:rFonts w:ascii="宋体" w:hAnsi="宋体"/>
                <w:color w:val="auto"/>
                <w:sz w:val="24"/>
                <w:szCs w:val="24"/>
                <w:highlight w:val="none"/>
              </w:rPr>
            </w:pPr>
            <w:r>
              <w:rPr>
                <w:rFonts w:hint="eastAsia" w:ascii="宋体" w:hAnsi="宋体"/>
                <w:color w:val="auto"/>
                <w:sz w:val="24"/>
                <w:szCs w:val="24"/>
                <w:highlight w:val="none"/>
              </w:rPr>
              <w:t xml:space="preserve">（8）本项目非专门面向中小企业采购项目，所属行业为工业。</w:t>
            </w:r>
            <w:r/>
          </w:p>
        </w:tc>
      </w:tr>
      <w:tr>
        <w:trPr>
          <w:trHeight w:val="3727"/>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投标文件的构成</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封面</w:t>
            </w:r>
            <w:r/>
          </w:p>
          <w:p>
            <w:pPr>
              <w:rPr>
                <w:rFonts w:ascii="宋体" w:hAnsi="宋体"/>
                <w:color w:val="auto"/>
                <w:sz w:val="24"/>
                <w:szCs w:val="24"/>
                <w:highlight w:val="none"/>
              </w:rPr>
            </w:pPr>
            <w:r>
              <w:rPr>
                <w:rFonts w:ascii="宋体" w:hAnsi="宋体"/>
                <w:color w:val="auto"/>
                <w:sz w:val="24"/>
                <w:szCs w:val="24"/>
                <w:highlight w:val="none"/>
              </w:rPr>
              <w:t xml:space="preserve">目录</w:t>
            </w:r>
            <w:r/>
          </w:p>
          <w:p>
            <w:pPr>
              <w:rPr>
                <w:rFonts w:ascii="宋体" w:hAnsi="宋体"/>
                <w:color w:val="auto"/>
                <w:sz w:val="24"/>
                <w:szCs w:val="24"/>
                <w:highlight w:val="none"/>
              </w:rPr>
            </w:pPr>
            <w:r>
              <w:rPr>
                <w:rFonts w:ascii="宋体" w:hAnsi="宋体"/>
                <w:color w:val="auto"/>
                <w:sz w:val="24"/>
                <w:szCs w:val="24"/>
                <w:highlight w:val="none"/>
              </w:rPr>
              <w:t xml:space="preserve">*（1）投标函</w:t>
            </w:r>
            <w:r/>
          </w:p>
          <w:p>
            <w:pPr>
              <w:rPr>
                <w:rFonts w:ascii="宋体" w:hAnsi="宋体"/>
                <w:color w:val="auto"/>
                <w:sz w:val="24"/>
                <w:szCs w:val="24"/>
                <w:highlight w:val="none"/>
              </w:rPr>
            </w:pPr>
            <w:r>
              <w:rPr>
                <w:rFonts w:ascii="宋体" w:hAnsi="宋体"/>
                <w:color w:val="auto"/>
                <w:sz w:val="24"/>
                <w:szCs w:val="24"/>
                <w:highlight w:val="none"/>
              </w:rPr>
              <w:t xml:space="preserve">*（2）开标一览表</w:t>
            </w:r>
            <w:r/>
          </w:p>
          <w:p>
            <w:pPr>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投标分项</w:t>
            </w:r>
            <w:r>
              <w:rPr>
                <w:rFonts w:ascii="宋体" w:hAnsi="宋体"/>
                <w:color w:val="auto"/>
                <w:sz w:val="24"/>
                <w:szCs w:val="24"/>
                <w:highlight w:val="none"/>
              </w:rPr>
              <w:t xml:space="preserve">报价表</w:t>
            </w:r>
            <w:r/>
          </w:p>
          <w:p>
            <w:pPr>
              <w:rPr>
                <w:rFonts w:ascii="宋体" w:hAnsi="宋体"/>
                <w:color w:val="auto"/>
                <w:sz w:val="24"/>
                <w:szCs w:val="24"/>
                <w:highlight w:val="none"/>
              </w:rPr>
            </w:pPr>
            <w:r>
              <w:rPr>
                <w:rFonts w:ascii="宋体" w:hAnsi="宋体"/>
                <w:color w:val="auto"/>
                <w:sz w:val="24"/>
                <w:szCs w:val="24"/>
                <w:highlight w:val="none"/>
              </w:rPr>
              <w:t xml:space="preserve">*（4）技术参数响应偏离表</w:t>
            </w:r>
            <w:r/>
          </w:p>
          <w:p>
            <w:pPr>
              <w:rPr>
                <w:rFonts w:ascii="宋体" w:hAnsi="宋体"/>
                <w:color w:val="auto"/>
                <w:sz w:val="24"/>
                <w:szCs w:val="24"/>
                <w:highlight w:val="none"/>
              </w:rPr>
            </w:pPr>
            <w:r>
              <w:rPr>
                <w:rFonts w:ascii="宋体" w:hAnsi="宋体"/>
                <w:color w:val="auto"/>
                <w:sz w:val="24"/>
                <w:szCs w:val="24"/>
                <w:highlight w:val="none"/>
              </w:rPr>
              <w:t xml:space="preserve">*（5）投标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的医疗器械注册证</w:t>
            </w:r>
            <w:r/>
          </w:p>
          <w:p>
            <w:pPr>
              <w:rPr>
                <w:rFonts w:ascii="宋体" w:hAnsi="宋体"/>
                <w:color w:val="auto"/>
                <w:sz w:val="24"/>
                <w:szCs w:val="24"/>
                <w:highlight w:val="none"/>
              </w:rPr>
            </w:pPr>
            <w:r>
              <w:rPr>
                <w:rFonts w:ascii="宋体" w:hAnsi="宋体"/>
                <w:color w:val="auto"/>
                <w:sz w:val="24"/>
                <w:szCs w:val="24"/>
                <w:highlight w:val="none"/>
              </w:rPr>
              <w:t xml:space="preserve"> （6）投标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详细配置表</w:t>
            </w:r>
            <w:r/>
          </w:p>
          <w:p>
            <w:pPr>
              <w:rPr>
                <w:rFonts w:ascii="宋体" w:hAnsi="宋体"/>
                <w:color w:val="auto"/>
                <w:sz w:val="24"/>
                <w:szCs w:val="24"/>
                <w:highlight w:val="none"/>
              </w:rPr>
            </w:pPr>
            <w:r>
              <w:rPr>
                <w:rFonts w:ascii="宋体" w:hAnsi="宋体"/>
                <w:color w:val="auto"/>
                <w:sz w:val="24"/>
                <w:szCs w:val="24"/>
                <w:highlight w:val="none"/>
              </w:rPr>
              <w:t xml:space="preserve"> （7）投标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综合性能及规格说明</w:t>
            </w:r>
            <w:r/>
          </w:p>
          <w:p>
            <w:pPr>
              <w:rPr>
                <w:rFonts w:ascii="宋体" w:hAnsi="宋体"/>
                <w:color w:val="auto"/>
                <w:sz w:val="24"/>
                <w:szCs w:val="24"/>
                <w:highlight w:val="none"/>
              </w:rPr>
            </w:pPr>
            <w:r>
              <w:rPr>
                <w:rFonts w:ascii="宋体" w:hAnsi="宋体"/>
                <w:color w:val="auto"/>
                <w:sz w:val="24"/>
                <w:szCs w:val="24"/>
                <w:highlight w:val="none"/>
              </w:rPr>
              <w:t xml:space="preserve"> （8）质量保证及售后服务承诺</w:t>
            </w:r>
            <w:r/>
          </w:p>
          <w:p>
            <w:pPr>
              <w:rPr>
                <w:rFonts w:ascii="宋体" w:hAnsi="宋体"/>
                <w:color w:val="auto"/>
                <w:sz w:val="24"/>
                <w:szCs w:val="24"/>
                <w:highlight w:val="none"/>
              </w:rPr>
            </w:pPr>
            <w:r>
              <w:rPr>
                <w:rFonts w:ascii="宋体" w:hAnsi="宋体"/>
                <w:color w:val="auto"/>
                <w:sz w:val="24"/>
                <w:szCs w:val="24"/>
                <w:highlight w:val="none"/>
              </w:rPr>
              <w:t xml:space="preserve">*（9）商务条件响应偏离表</w:t>
            </w:r>
            <w:r/>
          </w:p>
          <w:p>
            <w:pPr>
              <w:rPr>
                <w:rFonts w:ascii="宋体" w:hAnsi="宋体"/>
                <w:color w:val="auto"/>
                <w:sz w:val="24"/>
                <w:szCs w:val="24"/>
                <w:highlight w:val="none"/>
              </w:rPr>
            </w:pPr>
            <w:r>
              <w:rPr>
                <w:rFonts w:ascii="宋体" w:hAnsi="宋体"/>
                <w:color w:val="auto"/>
                <w:sz w:val="24"/>
                <w:szCs w:val="24"/>
                <w:highlight w:val="none"/>
              </w:rPr>
              <w:t xml:space="preserve"> （10）项目业绩一览表</w:t>
            </w:r>
            <w:r/>
          </w:p>
          <w:p>
            <w:pPr>
              <w:rPr>
                <w:rFonts w:ascii="宋体" w:hAnsi="宋体"/>
                <w:color w:val="auto"/>
                <w:sz w:val="24"/>
                <w:szCs w:val="24"/>
                <w:highlight w:val="none"/>
              </w:rPr>
            </w:pPr>
            <w:r>
              <w:rPr>
                <w:rFonts w:ascii="宋体" w:hAnsi="宋体"/>
                <w:color w:val="auto"/>
                <w:sz w:val="24"/>
                <w:szCs w:val="24"/>
                <w:highlight w:val="none"/>
              </w:rPr>
              <w:t xml:space="preserve"> （11）设备的安装、调试、对接方案</w:t>
            </w:r>
            <w:r/>
          </w:p>
          <w:p>
            <w:pPr>
              <w:rPr>
                <w:rFonts w:ascii="宋体" w:hAnsi="宋体"/>
                <w:color w:val="auto"/>
                <w:sz w:val="24"/>
                <w:szCs w:val="24"/>
                <w:highlight w:val="none"/>
              </w:rPr>
            </w:pPr>
            <w:r>
              <w:rPr>
                <w:rFonts w:ascii="宋体" w:hAnsi="宋体"/>
                <w:color w:val="auto"/>
                <w:sz w:val="24"/>
                <w:szCs w:val="24"/>
                <w:highlight w:val="none"/>
              </w:rPr>
              <w:t xml:space="preserve">*（12）资格证明文件（内容详见第七章《投标文件组成与格式》）</w:t>
            </w:r>
            <w:r/>
          </w:p>
          <w:p>
            <w:pPr>
              <w:rPr>
                <w:rFonts w:ascii="宋体" w:hAnsi="宋体"/>
                <w:color w:val="auto"/>
                <w:sz w:val="24"/>
                <w:szCs w:val="24"/>
                <w:highlight w:val="none"/>
              </w:rPr>
            </w:pPr>
            <w:r>
              <w:rPr>
                <w:rFonts w:ascii="宋体" w:hAnsi="宋体"/>
                <w:color w:val="auto"/>
                <w:sz w:val="24"/>
                <w:szCs w:val="24"/>
                <w:highlight w:val="none"/>
              </w:rPr>
              <w:t xml:space="preserve">备注：（1）其中加“*”项目若有缺失或无效，将导致其投标无效且不允许在开标后补正。</w:t>
            </w:r>
            <w:r/>
          </w:p>
          <w:p>
            <w:pPr>
              <w:ind w:firstLine="602"/>
              <w:rPr>
                <w:rFonts w:ascii="宋体" w:hAnsi="宋体"/>
                <w:color w:val="auto"/>
                <w:sz w:val="24"/>
                <w:szCs w:val="24"/>
                <w:highlight w:val="none"/>
              </w:rPr>
            </w:pPr>
            <w:r>
              <w:rPr>
                <w:rFonts w:ascii="宋体" w:hAnsi="宋体"/>
                <w:color w:val="auto"/>
                <w:sz w:val="24"/>
                <w:szCs w:val="24"/>
                <w:highlight w:val="none"/>
              </w:rPr>
              <w:t xml:space="preserve">（2）上述所有投标内容均应包含在电子投标文件中，按规定一并上传到</w:t>
            </w:r>
            <w:r>
              <w:rPr>
                <w:rFonts w:hint="eastAsia" w:ascii="宋体" w:hAnsi="宋体"/>
                <w:color w:val="auto"/>
                <w:sz w:val="24"/>
                <w:szCs w:val="24"/>
                <w:highlight w:val="none"/>
              </w:rPr>
              <w:t xml:space="preserve">苏采云系统</w:t>
            </w:r>
            <w:r>
              <w:rPr>
                <w:rFonts w:ascii="宋体" w:hAnsi="宋体"/>
                <w:color w:val="auto"/>
                <w:sz w:val="24"/>
                <w:szCs w:val="24"/>
                <w:highlight w:val="none"/>
              </w:rPr>
              <w:t xml:space="preserve">。</w:t>
            </w:r>
            <w:r/>
          </w:p>
        </w:tc>
      </w:tr>
      <w:tr>
        <w:trPr>
          <w:trHeight w:val="262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13</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s="宋体"/>
                <w:bCs/>
                <w:color w:val="auto"/>
                <w:sz w:val="24"/>
                <w:szCs w:val="24"/>
                <w:highlight w:val="none"/>
              </w:rPr>
              <w:t xml:space="preserve">线上参加开标（开启）会方式</w:t>
            </w:r>
            <w:r/>
          </w:p>
        </w:tc>
        <w:tc>
          <w:tcPr>
            <w:tcW w:w="7377" w:type="dxa"/>
            <w:vAlign w:val="center"/>
            <w:textDirection w:val="lrTb"/>
            <w:noWrap w:val="false"/>
          </w:tcPr>
          <w:p>
            <w:pPr>
              <w:ind w:firstLine="480"/>
              <w:jc w:val="left"/>
              <w:shd w:val="clear" w:color="auto" w:fill="ffffff"/>
              <w:widowControl/>
              <w:tabs>
                <w:tab w:val="left" w:pos="315" w:leader="none"/>
                <w:tab w:val="center" w:pos="4153"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rPr>
                <w:rFonts w:ascii="宋体" w:hAnsi="宋体"/>
                <w:color w:val="auto"/>
                <w:sz w:val="24"/>
                <w:szCs w:val="24"/>
                <w:highlight w:val="none"/>
              </w:rPr>
            </w:pPr>
            <w:r>
              <w:rPr>
                <w:rFonts w:ascii="宋体" w:hAnsi="宋体" w:cs="宋体"/>
                <w:bCs/>
                <w:color w:val="auto"/>
                <w:sz w:val="24"/>
                <w:szCs w:val="24"/>
                <w:highlight w:val="none"/>
              </w:rPr>
              <w:t xml:space="preserve">请供应商确保电脑、系统及其他设备（视频输入输出设备等）无误，且开标直至项目结束始终保持系统在线状态</w:t>
            </w:r>
            <w:r/>
          </w:p>
        </w:tc>
      </w:tr>
    </w:tbl>
    <w:p>
      <w:pPr>
        <w:rPr>
          <w:rFonts w:ascii="宋体" w:hAnsi="宋体"/>
          <w:color w:val="auto"/>
          <w:highlight w:val="none"/>
        </w:rPr>
      </w:pPr>
      <w:r>
        <w:rPr>
          <w:rFonts w:ascii="宋体" w:hAnsi="宋体"/>
          <w:color w:val="auto"/>
          <w:highlight w:val="none"/>
        </w:rPr>
      </w:r>
      <w:r/>
    </w:p>
    <w:p>
      <w:pPr>
        <w:jc w:val="center"/>
        <w:rPr>
          <w:rFonts w:ascii="宋体" w:hAnsi="宋体"/>
          <w:color w:val="auto"/>
          <w:sz w:val="36"/>
          <w:highlight w:val="none"/>
        </w:rPr>
        <w:outlineLvl w:val="0"/>
      </w:pPr>
      <w:r>
        <w:rPr>
          <w:rFonts w:ascii="宋体" w:hAnsi="宋体"/>
          <w:color w:val="auto"/>
          <w:highlight w:val="none"/>
        </w:rPr>
        <w:br w:type="page" w:clear="all"/>
      </w:r>
      <w:bookmarkStart w:id="21" w:name="_Toc158691767"/>
      <w:r/>
      <w:bookmarkStart w:id="22" w:name="_Toc315875314"/>
      <w:r/>
      <w:bookmarkStart w:id="23" w:name="_Toc315868051"/>
      <w:r/>
      <w:bookmarkStart w:id="24" w:name="_Toc187920247"/>
      <w:r>
        <w:rPr>
          <w:rFonts w:ascii="宋体" w:hAnsi="宋体"/>
          <w:color w:val="auto"/>
          <w:sz w:val="36"/>
          <w:highlight w:val="none"/>
        </w:rPr>
        <w:t xml:space="preserve">第三章  投标人须知</w:t>
      </w:r>
      <w:bookmarkEnd w:id="21"/>
      <w:r>
        <w:rPr>
          <w:rFonts w:ascii="宋体" w:hAnsi="宋体"/>
          <w:color w:val="auto"/>
          <w:sz w:val="36"/>
          <w:highlight w:val="none"/>
        </w:rPr>
        <w:t xml:space="preserve">通用条款</w:t>
      </w:r>
      <w:bookmarkEnd w:id="22"/>
      <w:r/>
      <w:bookmarkEnd w:id="23"/>
      <w:r/>
      <w:bookmarkEnd w:id="24"/>
      <w:r/>
      <w:r/>
    </w:p>
    <w:p>
      <w:pPr>
        <w:pStyle w:val="654"/>
        <w:rPr>
          <w:rFonts w:ascii="宋体" w:hAnsi="宋体" w:eastAsia="宋体"/>
          <w:b w:val="0"/>
          <w:color w:val="auto"/>
          <w:highlight w:val="none"/>
        </w:rPr>
      </w:pPr>
      <w:r/>
      <w:bookmarkStart w:id="25" w:name="_Toc187920248"/>
      <w:r/>
      <w:bookmarkStart w:id="26" w:name="_Toc158691768"/>
      <w:r/>
      <w:bookmarkStart w:id="27" w:name="_Toc315868052"/>
      <w:r/>
      <w:bookmarkStart w:id="28" w:name="_Toc315875315"/>
      <w:r>
        <w:rPr>
          <w:rFonts w:ascii="宋体" w:hAnsi="宋体" w:eastAsia="宋体"/>
          <w:b w:val="0"/>
          <w:color w:val="auto"/>
          <w:highlight w:val="none"/>
        </w:rPr>
        <w:t xml:space="preserve">一、总则</w:t>
      </w:r>
      <w:bookmarkEnd w:id="25"/>
      <w:r/>
      <w:bookmarkEnd w:id="26"/>
      <w:r/>
      <w:bookmarkEnd w:id="27"/>
      <w:r/>
      <w:bookmarkEnd w:id="28"/>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1、适用范围及解释权</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本招标文件仅适用于本次投标邀请中所指定项目的</w:t>
      </w:r>
      <w:r>
        <w:rPr>
          <w:rFonts w:hint="eastAsia" w:ascii="宋体" w:hAnsi="宋体"/>
          <w:color w:val="auto"/>
          <w:sz w:val="24"/>
          <w:szCs w:val="24"/>
          <w:highlight w:val="none"/>
        </w:rPr>
        <w:t xml:space="preserve">招标采购活动</w:t>
      </w:r>
      <w:r>
        <w:rPr>
          <w:rFonts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1.2 本招标文件的解释权</w:t>
      </w:r>
      <w:r>
        <w:rPr>
          <w:rFonts w:hint="eastAsia" w:ascii="宋体" w:hAnsi="宋体"/>
          <w:color w:val="auto"/>
          <w:sz w:val="24"/>
          <w:szCs w:val="24"/>
          <w:highlight w:val="none"/>
        </w:rPr>
        <w:t xml:space="preserve">属于本项目</w:t>
      </w:r>
      <w:r>
        <w:rPr>
          <w:rFonts w:ascii="宋体" w:hAnsi="宋体"/>
          <w:color w:val="auto"/>
          <w:sz w:val="24"/>
          <w:szCs w:val="24"/>
          <w:highlight w:val="none"/>
        </w:rPr>
        <w:t xml:space="preserve">采购代理机构（以下简称</w:t>
      </w:r>
      <w:r>
        <w:rPr>
          <w:rFonts w:hint="eastAsia" w:ascii="宋体" w:hAnsi="宋体"/>
          <w:color w:val="auto"/>
          <w:sz w:val="24"/>
          <w:szCs w:val="24"/>
          <w:highlight w:val="none"/>
        </w:rPr>
        <w:t xml:space="preserve">“代理机构”</w:t>
      </w:r>
      <w:r>
        <w:rPr>
          <w:rFonts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2、定义</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2.1 </w:t>
      </w:r>
      <w:r>
        <w:rPr>
          <w:rFonts w:hint="eastAsia" w:ascii="宋体" w:hAnsi="宋体"/>
          <w:color w:val="auto"/>
          <w:sz w:val="24"/>
          <w:szCs w:val="24"/>
          <w:highlight w:val="none"/>
        </w:rPr>
        <w:t xml:space="preserve">“采购代理机构”</w:t>
      </w:r>
      <w:r>
        <w:rPr>
          <w:rFonts w:ascii="宋体" w:hAnsi="宋体"/>
          <w:color w:val="auto"/>
          <w:sz w:val="24"/>
          <w:szCs w:val="24"/>
          <w:highlight w:val="none"/>
        </w:rPr>
        <w:t xml:space="preserve">系指组织本次招标的</w:t>
      </w:r>
      <w:r>
        <w:rPr>
          <w:rFonts w:hint="eastAsia" w:ascii="宋体" w:hAnsi="宋体"/>
          <w:color w:val="auto"/>
          <w:sz w:val="24"/>
          <w:szCs w:val="24"/>
          <w:highlight w:val="none"/>
        </w:rPr>
        <w:t xml:space="preserve">苏州市卫康招投标咨询服务有限公司</w:t>
      </w:r>
      <w:r>
        <w:rPr>
          <w:rFonts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系指向</w:t>
      </w:r>
      <w:r>
        <w:rPr>
          <w:rFonts w:hint="eastAsia" w:ascii="宋体" w:hAnsi="宋体"/>
          <w:color w:val="auto"/>
          <w:sz w:val="24"/>
          <w:szCs w:val="24"/>
          <w:highlight w:val="none"/>
        </w:rPr>
        <w:t xml:space="preserve">代理机构</w:t>
      </w:r>
      <w:r>
        <w:rPr>
          <w:rFonts w:ascii="宋体" w:hAnsi="宋体"/>
          <w:color w:val="auto"/>
          <w:sz w:val="24"/>
          <w:szCs w:val="24"/>
          <w:highlight w:val="none"/>
        </w:rPr>
        <w:t xml:space="preserve">提交投标文件的供应商。</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3“采购</w:t>
      </w:r>
      <w:r>
        <w:rPr>
          <w:rFonts w:ascii="宋体" w:hAnsi="宋体"/>
          <w:color w:val="auto"/>
          <w:sz w:val="24"/>
          <w:szCs w:val="24"/>
          <w:highlight w:val="none"/>
        </w:rPr>
        <w:t xml:space="preserve">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系指</w:t>
      </w:r>
      <w:r>
        <w:rPr>
          <w:rFonts w:hint="eastAsia" w:ascii="宋体" w:hAnsi="宋体"/>
          <w:color w:val="auto"/>
          <w:sz w:val="24"/>
          <w:szCs w:val="24"/>
          <w:highlight w:val="none"/>
        </w:rPr>
        <w:t xml:space="preserve">购买本项目货物并接受相关服务的国家机关、事业单位、团体组织。</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3、合格投标人的条件</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3.1 合格的投标人应当符合以下条件：详见《投标人须知专用条款》</w:t>
      </w:r>
      <w:r>
        <w:rPr>
          <w:rFonts w:hint="eastAsia" w:ascii="宋体" w:hAnsi="宋体"/>
          <w:color w:val="auto"/>
          <w:sz w:val="24"/>
          <w:szCs w:val="24"/>
          <w:highlight w:val="none"/>
        </w:rPr>
        <w:t xml:space="preserve">中投标人资格要求。</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4、投标费用</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4.2本次招标项目中标服务费</w:t>
      </w:r>
      <w:r>
        <w:rPr>
          <w:rFonts w:hint="eastAsia" w:ascii="宋体" w:hAnsi="宋体"/>
          <w:color w:val="auto"/>
          <w:sz w:val="24"/>
          <w:szCs w:val="24"/>
          <w:highlight w:val="none"/>
        </w:rPr>
        <w:t xml:space="preserve">要求详见</w:t>
      </w:r>
      <w:r>
        <w:rPr>
          <w:rFonts w:ascii="宋体" w:hAnsi="宋体"/>
          <w:color w:val="auto"/>
          <w:sz w:val="24"/>
          <w:szCs w:val="24"/>
          <w:highlight w:val="none"/>
        </w:rPr>
        <w:t xml:space="preserve">《</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须知专用条款》</w:t>
      </w:r>
      <w:r>
        <w:rPr>
          <w:rFonts w:hint="eastAsia" w:ascii="宋体" w:hAnsi="宋体"/>
          <w:color w:val="auto"/>
          <w:sz w:val="24"/>
          <w:szCs w:val="24"/>
          <w:highlight w:val="none"/>
        </w:rPr>
        <w:t xml:space="preserve">，</w:t>
      </w:r>
      <w:r>
        <w:rPr>
          <w:rFonts w:ascii="宋体" w:hAnsi="宋体"/>
          <w:color w:val="auto"/>
          <w:sz w:val="24"/>
          <w:szCs w:val="24"/>
          <w:highlight w:val="none"/>
        </w:rPr>
        <w:t xml:space="preserve">请投标人在投标时充分考虑这一因素。</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5、招标文件约束力</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5.1 投标人一旦参加投标，即被认为接受了本招标文件中的所有条件和规定。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招标活动的终止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 </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活动中因重大变故，采购任务取消的，采购人或者代理机构</w:t>
      </w:r>
      <w:r>
        <w:rPr>
          <w:rFonts w:hint="eastAsia" w:ascii="宋体" w:hAnsi="宋体"/>
          <w:color w:val="auto"/>
          <w:sz w:val="24"/>
          <w:szCs w:val="24"/>
          <w:highlight w:val="none"/>
        </w:rPr>
        <w:t xml:space="preserve">将按规定</w:t>
      </w:r>
      <w:r>
        <w:rPr>
          <w:rFonts w:ascii="宋体" w:hAnsi="宋体"/>
          <w:color w:val="auto"/>
          <w:sz w:val="24"/>
          <w:szCs w:val="24"/>
          <w:highlight w:val="none"/>
        </w:rPr>
        <w:t xml:space="preserve">终止</w:t>
      </w:r>
      <w:r>
        <w:rPr>
          <w:rFonts w:hint="eastAsia" w:ascii="宋体" w:hAnsi="宋体"/>
          <w:color w:val="auto"/>
          <w:sz w:val="24"/>
          <w:szCs w:val="24"/>
          <w:highlight w:val="none"/>
        </w:rPr>
        <w:t xml:space="preserve">本项目招标</w:t>
      </w:r>
      <w:r>
        <w:rPr>
          <w:rFonts w:ascii="宋体" w:hAnsi="宋体"/>
          <w:color w:val="auto"/>
          <w:sz w:val="24"/>
          <w:szCs w:val="24"/>
          <w:highlight w:val="none"/>
        </w:rPr>
        <w:t xml:space="preserve">活动，</w:t>
      </w:r>
      <w:r>
        <w:rPr>
          <w:rFonts w:hint="eastAsia" w:ascii="宋体" w:hAnsi="宋体"/>
          <w:color w:val="auto"/>
          <w:sz w:val="24"/>
          <w:szCs w:val="24"/>
          <w:highlight w:val="none"/>
        </w:rPr>
        <w:t xml:space="preserve">并将在指定媒体上发布</w:t>
      </w:r>
      <w:r>
        <w:rPr>
          <w:rFonts w:ascii="宋体" w:hAnsi="宋体"/>
          <w:color w:val="auto"/>
          <w:sz w:val="24"/>
          <w:szCs w:val="24"/>
          <w:highlight w:val="none"/>
        </w:rPr>
        <w:t xml:space="preserve">终止公告</w:t>
      </w:r>
      <w:r>
        <w:rPr>
          <w:rFonts w:hint="eastAsia" w:ascii="宋体" w:hAnsi="宋体"/>
          <w:color w:val="auto"/>
          <w:sz w:val="24"/>
          <w:szCs w:val="24"/>
          <w:highlight w:val="none"/>
        </w:rPr>
        <w:t xml:space="preserve">。</w:t>
      </w:r>
      <w:r>
        <w:rPr>
          <w:rFonts w:ascii="宋体" w:hAnsi="宋体"/>
          <w:color w:val="auto"/>
          <w:sz w:val="24"/>
          <w:szCs w:val="24"/>
          <w:highlight w:val="none"/>
        </w:rPr>
        <w:t xml:space="preserve">所有</w:t>
      </w:r>
      <w:r>
        <w:rPr>
          <w:rFonts w:hint="eastAsia" w:ascii="宋体" w:hAnsi="宋体"/>
          <w:color w:val="auto"/>
          <w:sz w:val="24"/>
          <w:szCs w:val="24"/>
          <w:highlight w:val="none"/>
        </w:rPr>
        <w:t xml:space="preserve">潜在投标人可在</w:t>
      </w:r>
      <w:r>
        <w:rPr>
          <w:rFonts w:ascii="宋体" w:hAnsi="宋体"/>
          <w:color w:val="auto"/>
          <w:sz w:val="24"/>
          <w:szCs w:val="24"/>
          <w:highlight w:val="none"/>
        </w:rPr>
        <w:t xml:space="preserve">本</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公告网站上</w:t>
      </w:r>
      <w:r>
        <w:rPr>
          <w:rFonts w:hint="eastAsia" w:ascii="宋体" w:hAnsi="宋体"/>
          <w:color w:val="auto"/>
          <w:sz w:val="24"/>
          <w:szCs w:val="24"/>
          <w:highlight w:val="none"/>
        </w:rPr>
        <w:t xml:space="preserve">查看到相关终止信息。</w:t>
      </w:r>
      <w:r/>
    </w:p>
    <w:p>
      <w:pPr>
        <w:spacing w:line="440" w:lineRule="exact"/>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bookmarkStart w:id="29" w:name="_Toc315868053"/>
      <w:r/>
      <w:bookmarkStart w:id="30" w:name="_Toc158691769"/>
      <w:r/>
      <w:bookmarkStart w:id="31" w:name="_Toc315875316"/>
      <w:r/>
      <w:bookmarkStart w:id="32" w:name="_Toc187920249"/>
      <w:r>
        <w:rPr>
          <w:rFonts w:ascii="宋体" w:hAnsi="宋体" w:eastAsia="宋体"/>
          <w:b w:val="0"/>
          <w:color w:val="auto"/>
          <w:highlight w:val="none"/>
        </w:rPr>
        <w:t xml:space="preserve">二、招标文件</w:t>
      </w:r>
      <w:bookmarkEnd w:id="29"/>
      <w:r/>
      <w:bookmarkEnd w:id="30"/>
      <w:r>
        <w:rPr>
          <w:rFonts w:hint="eastAsia" w:ascii="宋体" w:hAnsi="宋体" w:eastAsia="宋体"/>
          <w:b w:val="0"/>
          <w:color w:val="auto"/>
          <w:highlight w:val="none"/>
        </w:rPr>
        <w:t xml:space="preserve">的说明</w:t>
      </w:r>
      <w:bookmarkEnd w:id="31"/>
      <w:r/>
      <w:bookmarkEnd w:id="32"/>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1、招标文件</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构成</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招标文件由下列内容组成：</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第一章  投标邀请</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第二章  投标人须知专用条款</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第三章  投标人须知通用条款</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第四章  项目需求</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第五章  评审因素和评分标准</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第六章  合同格式</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第七章  投标文件组成与格式</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1.2 请仔细检查招标文件是否齐全，如有缺漏，请立即与代理机构联系解决。</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2、招标文件的澄清</w:t>
      </w:r>
      <w:r>
        <w:rPr>
          <w:rFonts w:hint="eastAsia" w:ascii="宋体" w:hAnsi="宋体"/>
          <w:color w:val="auto"/>
          <w:sz w:val="24"/>
          <w:szCs w:val="24"/>
          <w:highlight w:val="none"/>
        </w:rPr>
        <w:t xml:space="preserve">、修改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代理机构可对已发出的招标文件进行必要的澄清或者修改，并</w:t>
      </w:r>
      <w:r>
        <w:rPr>
          <w:rFonts w:ascii="宋体" w:hAnsi="宋体"/>
          <w:color w:val="auto"/>
          <w:sz w:val="24"/>
          <w:szCs w:val="24"/>
          <w:highlight w:val="none"/>
        </w:rPr>
        <w:t xml:space="preserve">将在指定媒体上发布更正公告</w:t>
      </w:r>
      <w:r>
        <w:rPr>
          <w:rFonts w:hint="eastAsia" w:ascii="宋体" w:hAnsi="宋体"/>
          <w:color w:val="auto"/>
          <w:sz w:val="24"/>
          <w:szCs w:val="24"/>
          <w:highlight w:val="none"/>
        </w:rPr>
        <w:t xml:space="preserve">。各投标人应</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投标截止时间</w:t>
      </w:r>
      <w:r>
        <w:rPr>
          <w:rFonts w:ascii="宋体" w:hAnsi="宋体"/>
          <w:color w:val="auto"/>
          <w:sz w:val="24"/>
          <w:szCs w:val="24"/>
          <w:highlight w:val="none"/>
        </w:rPr>
        <w:t xml:space="preserve">前</w:t>
      </w:r>
      <w:r>
        <w:rPr>
          <w:rFonts w:hint="eastAsia" w:ascii="宋体" w:hAnsi="宋体"/>
          <w:color w:val="auto"/>
          <w:sz w:val="24"/>
          <w:szCs w:val="24"/>
          <w:highlight w:val="none"/>
        </w:rPr>
        <w:t xml:space="preserve">关注</w:t>
      </w:r>
      <w:r>
        <w:rPr>
          <w:rFonts w:ascii="宋体" w:hAnsi="宋体"/>
          <w:color w:val="auto"/>
          <w:sz w:val="24"/>
          <w:szCs w:val="24"/>
          <w:highlight w:val="none"/>
        </w:rPr>
        <w:t xml:space="preserve">本</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公告网站上更正公告</w:t>
      </w:r>
      <w:r>
        <w:rPr>
          <w:rFonts w:hint="eastAsia" w:ascii="宋体" w:hAnsi="宋体"/>
          <w:color w:val="auto"/>
          <w:sz w:val="24"/>
          <w:szCs w:val="24"/>
          <w:highlight w:val="none"/>
        </w:rPr>
        <w:t xml:space="preserve">栏，按规定获取相关信息内容，否则其投标风险由投标人承担。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代理机构一旦对招标文件作出了澄清、修改，即刻发生效力，有关</w:t>
      </w:r>
      <w:r>
        <w:rPr>
          <w:rFonts w:hint="eastAsia" w:ascii="宋体" w:hAnsi="宋体"/>
          <w:color w:val="auto"/>
          <w:sz w:val="24"/>
          <w:szCs w:val="24"/>
          <w:highlight w:val="none"/>
        </w:rPr>
        <w:t xml:space="preserve">澄清或者修改的内容为招标文件的组成部分</w:t>
      </w:r>
      <w:r>
        <w:rPr>
          <w:rFonts w:ascii="宋体" w:hAnsi="宋体"/>
          <w:color w:val="auto"/>
          <w:sz w:val="24"/>
          <w:szCs w:val="24"/>
          <w:highlight w:val="none"/>
        </w:rPr>
        <w:t xml:space="preserve">，对所有招标文件收受人均具有约束力。</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3、质疑</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3.4供应商如对本项目提出质疑须在法定质疑期内一次性提出针对同一采购程序环节的质疑。</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3.5接受质疑函的方式：当场送达或邮寄方式。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3.6联系单位：苏州市卫康招投标咨询服务有限公司</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收件人：祝丽林</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联系电话：0512-65158848</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通讯地址：苏州市干将西路1296号1幢17层（深业姑苏中心）</w:t>
      </w:r>
      <w:r/>
    </w:p>
    <w:p>
      <w:pPr>
        <w:spacing w:line="440" w:lineRule="exact"/>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bookmarkStart w:id="33" w:name="_Toc315875317"/>
      <w:r/>
      <w:bookmarkStart w:id="34" w:name="_Toc315868054"/>
      <w:r/>
      <w:bookmarkStart w:id="35" w:name="_Toc187920250"/>
      <w:r/>
      <w:bookmarkStart w:id="36" w:name="_Toc158691770"/>
      <w:r>
        <w:rPr>
          <w:rFonts w:ascii="宋体" w:hAnsi="宋体" w:eastAsia="宋体"/>
          <w:b w:val="0"/>
          <w:color w:val="auto"/>
          <w:highlight w:val="none"/>
        </w:rPr>
        <w:t xml:space="preserve">三、投标文件的编制</w:t>
      </w:r>
      <w:bookmarkEnd w:id="33"/>
      <w:r/>
      <w:bookmarkEnd w:id="34"/>
      <w:r/>
      <w:bookmarkEnd w:id="35"/>
      <w:r/>
      <w:bookmarkEnd w:id="36"/>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1、投标文件构成</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投标文件的构成：详见《投标人须知专用条款》</w:t>
      </w:r>
      <w:r>
        <w:rPr>
          <w:rFonts w:hint="eastAsia"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2、投标文件编写说明</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2.1投标人应详细阅读招标文件的全部内容。如果投标人没有按照招标文件规定编制投标文件及提供全部资料（包括但不限于加</w:t>
      </w:r>
      <w:r>
        <w:rPr>
          <w:rFonts w:hint="eastAsia" w:ascii="宋体" w:hAnsi="宋体"/>
          <w:color w:val="auto"/>
          <w:sz w:val="24"/>
          <w:szCs w:val="24"/>
          <w:highlight w:val="none"/>
        </w:rPr>
        <w:t xml:space="preserve">“</w:t>
      </w:r>
      <w:r>
        <w:rPr>
          <w:rFonts w:ascii="宋体" w:hAnsi="宋体"/>
          <w:color w:val="auto"/>
          <w:sz w:val="28"/>
          <w:szCs w:val="28"/>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项目规定的内容），或者投标文件没有对招标文件在各方面都作出实质性响应，将可能导致其投标被拒绝。</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2.3 除技术规格中另有规定外，投标文件所使用的计量单位应为中华人民共和国法定计量单位。</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 如无特别说明，所有报价均以人民币元为计价单位。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 投标人应对本项目作整体报价，不得拆分，否则其投标无效；</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 代理机构不接受可选择的投标方案和报价；任何可选择的投标方案和报价将被视为非响应性投标而被拒绝。</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7</w:t>
      </w:r>
      <w:r>
        <w:rPr>
          <w:rFonts w:ascii="宋体" w:hAnsi="宋体"/>
          <w:color w:val="auto"/>
          <w:sz w:val="24"/>
          <w:szCs w:val="24"/>
          <w:highlight w:val="none"/>
        </w:rPr>
        <w:t xml:space="preserve"> 投标人必须保证所提供的全部资料真实可靠，并接受评标委员会</w:t>
      </w:r>
      <w:r>
        <w:rPr>
          <w:rFonts w:hint="eastAsia" w:ascii="宋体" w:hAnsi="宋体"/>
          <w:color w:val="auto"/>
          <w:sz w:val="24"/>
          <w:szCs w:val="24"/>
          <w:highlight w:val="none"/>
        </w:rPr>
        <w:t xml:space="preserve">或</w:t>
      </w:r>
      <w:r>
        <w:rPr>
          <w:rFonts w:ascii="宋体" w:hAnsi="宋体"/>
          <w:color w:val="auto"/>
          <w:sz w:val="24"/>
          <w:szCs w:val="24"/>
          <w:highlight w:val="none"/>
        </w:rPr>
        <w:t xml:space="preserve">代理机构对其中任何资料进一步审查的要求。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 制作电子投标文件的流程详见附件。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电子投标文件制作</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电子投标文件：</w:t>
      </w:r>
      <w:r>
        <w:rPr>
          <w:rFonts w:ascii="宋体" w:hAnsi="宋体"/>
          <w:color w:val="auto"/>
          <w:sz w:val="24"/>
          <w:szCs w:val="24"/>
          <w:highlight w:val="none"/>
        </w:rPr>
        <w:t xml:space="preserve">详见《投标人须知专用条款》</w:t>
      </w:r>
      <w:r>
        <w:rPr>
          <w:rFonts w:hint="eastAsia"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4、投标文件的签署、盖章</w:t>
      </w:r>
      <w:r/>
    </w:p>
    <w:p>
      <w:pPr>
        <w:ind w:firstLine="361"/>
        <w:spacing w:line="440" w:lineRule="exact"/>
        <w:rPr>
          <w:rFonts w:ascii="宋体" w:hAnsi="宋体"/>
          <w:color w:val="auto"/>
          <w:sz w:val="24"/>
          <w:szCs w:val="24"/>
          <w:highlight w:val="none"/>
        </w:rPr>
      </w:pPr>
      <w:r>
        <w:rPr>
          <w:rFonts w:ascii="宋体" w:hAnsi="宋体"/>
          <w:color w:val="auto"/>
          <w:sz w:val="24"/>
          <w:szCs w:val="24"/>
          <w:highlight w:val="none"/>
        </w:rPr>
        <w:t xml:space="preserve">4.1 </w:t>
      </w:r>
      <w:r>
        <w:rPr>
          <w:rFonts w:hint="eastAsia" w:ascii="宋体" w:hAnsi="宋体"/>
          <w:color w:val="auto"/>
          <w:sz w:val="24"/>
          <w:szCs w:val="24"/>
          <w:highlight w:val="none"/>
        </w:rPr>
        <w:t xml:space="preserve">投标人在投标文件的投标函中请加盖电子签章，包括单位和法定代表人（</w:t>
      </w:r>
      <w:r>
        <w:rPr>
          <w:rFonts w:ascii="宋体" w:hAnsi="宋体"/>
          <w:color w:val="auto"/>
          <w:sz w:val="24"/>
          <w:szCs w:val="24"/>
          <w:highlight w:val="none"/>
        </w:rPr>
        <w:t xml:space="preserve">或授权代表</w:t>
      </w:r>
      <w:r>
        <w:rPr>
          <w:rFonts w:hint="eastAsia" w:ascii="宋体" w:hAnsi="宋体"/>
          <w:color w:val="auto"/>
          <w:sz w:val="24"/>
          <w:szCs w:val="24"/>
          <w:highlight w:val="none"/>
        </w:rPr>
        <w:t xml:space="preserve">）章。如投标文件中未加盖电子签章的作无效投标处理。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 由投标人授权代表签署投标文件的，</w:t>
      </w:r>
      <w:r>
        <w:rPr>
          <w:rFonts w:ascii="宋体" w:hAnsi="宋体"/>
          <w:color w:val="auto"/>
          <w:sz w:val="24"/>
          <w:szCs w:val="24"/>
          <w:highlight w:val="none"/>
        </w:rPr>
        <w:t xml:space="preserve">应附</w:t>
      </w:r>
      <w:r>
        <w:rPr>
          <w:rFonts w:hint="eastAsia" w:ascii="宋体" w:hAnsi="宋体"/>
          <w:color w:val="auto"/>
          <w:sz w:val="24"/>
          <w:szCs w:val="24"/>
          <w:highlight w:val="none"/>
        </w:rPr>
        <w:t xml:space="preserve">有</w:t>
      </w:r>
      <w:r>
        <w:rPr>
          <w:rFonts w:ascii="宋体" w:hAnsi="宋体"/>
          <w:color w:val="auto"/>
          <w:sz w:val="24"/>
          <w:szCs w:val="24"/>
          <w:highlight w:val="none"/>
        </w:rPr>
        <w:t xml:space="preserve">法定代表人授权书</w:t>
      </w:r>
      <w:r>
        <w:rPr>
          <w:rFonts w:hint="eastAsia" w:ascii="宋体" w:hAnsi="宋体"/>
          <w:color w:val="auto"/>
          <w:sz w:val="24"/>
          <w:szCs w:val="24"/>
          <w:highlight w:val="none"/>
        </w:rPr>
        <w:t xml:space="preserve">。授权书上应加盖电子签章，包括单位和法定代表人章。但</w:t>
      </w:r>
      <w:r>
        <w:rPr>
          <w:rFonts w:ascii="宋体" w:hAnsi="宋体"/>
          <w:color w:val="auto"/>
          <w:sz w:val="24"/>
          <w:szCs w:val="24"/>
          <w:highlight w:val="none"/>
        </w:rPr>
        <w:t xml:space="preserve">法定代表人签署投标文件的不需提供</w:t>
      </w:r>
      <w:r>
        <w:rPr>
          <w:rFonts w:hint="eastAsia" w:ascii="宋体" w:hAnsi="宋体"/>
          <w:color w:val="auto"/>
          <w:sz w:val="24"/>
          <w:szCs w:val="24"/>
          <w:highlight w:val="none"/>
        </w:rPr>
        <w:t xml:space="preserve">授权书。</w:t>
      </w:r>
      <w:r/>
    </w:p>
    <w:p>
      <w:pPr>
        <w:ind w:firstLine="315"/>
        <w:spacing w:line="440" w:lineRule="exact"/>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bookmarkStart w:id="37" w:name="_Toc315875318"/>
      <w:r/>
      <w:bookmarkStart w:id="38" w:name="_Toc187920251"/>
      <w:r/>
      <w:bookmarkStart w:id="39" w:name="_Toc158691771"/>
      <w:r/>
      <w:bookmarkStart w:id="40" w:name="_Toc315868055"/>
      <w:r>
        <w:rPr>
          <w:rFonts w:ascii="宋体" w:hAnsi="宋体" w:eastAsia="宋体"/>
          <w:b w:val="0"/>
          <w:color w:val="auto"/>
          <w:highlight w:val="none"/>
        </w:rPr>
        <w:t xml:space="preserve">四、投标文件的提交</w:t>
      </w:r>
      <w:bookmarkEnd w:id="37"/>
      <w:r/>
      <w:bookmarkEnd w:id="38"/>
      <w:r/>
      <w:bookmarkEnd w:id="39"/>
      <w:r/>
      <w:bookmarkEnd w:id="40"/>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1、投标文件的</w:t>
      </w:r>
      <w:r>
        <w:rPr>
          <w:rFonts w:hint="eastAsia" w:ascii="宋体" w:hAnsi="宋体"/>
          <w:color w:val="auto"/>
          <w:sz w:val="24"/>
          <w:szCs w:val="24"/>
          <w:highlight w:val="none"/>
        </w:rPr>
        <w:t xml:space="preserve">提交</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1.1电子投标文件制作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（1）在苏采云系统中下载招标文件后，点击“客户端下载地址”，下载投标文件客户端，查看客户端使用说明。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（2）将下载的采购文件导入投标文件客户端，按照《操作手册》完成投标文件的编制和加盖电子签章。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bCs/>
          <w:color w:val="auto"/>
          <w:sz w:val="24"/>
          <w:szCs w:val="24"/>
          <w:highlight w:val="none"/>
          <w:u w:val="single"/>
        </w:rPr>
        <w:t xml:space="preserve">注：具体投标文件编制教程查看苏采云系统中的客户端使用说明和供应商《操作手</w:t>
      </w:r>
      <w:r>
        <w:rPr>
          <w:rFonts w:hint="eastAsia" w:ascii="宋体" w:hAnsi="宋体"/>
          <w:color w:val="auto"/>
          <w:sz w:val="24"/>
          <w:szCs w:val="24"/>
          <w:highlight w:val="none"/>
          <w:u w:val="single"/>
        </w:rPr>
        <w:t xml:space="preserve">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filled="f" stroked="f">
            <v:path textboxrect="0,0,0,0"/>
            <v:imagedata r:id="rId13" o:title=""/>
          </v:shape>
          <o:OLEObject DrawAspect="Content" r:id="rId14" ObjectID="_1525040" ProgID="Package" ShapeID="_x0000_i0" Type="Embed"/>
        </w:objec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（4）电子投标文件中的资料应按采购文件的要求加盖投标人的电子签章或公章。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（5）未按照要求编制电子投标文件，未按照要求在电子投标文件上加盖电子签章的，均视为无效投标。</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（6）投标报价（编制）要求的说明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（8）投标人应按《投标报价表》中的全部货物和服务计算单价和总价。《投标报价表》中的每一单项均应计算并填写单价和总价，并由法定代表人或代理人签章。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（10）一项投标内容只允许一个报价，采购代理机构不接受任何有选择性的投标报价。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（11）投标文件报价中的单价和总价全部采用人民币表示，除非合同的特殊条款另有规定。</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（12）最低的投标报价或最高的折扣比例是中标的重要条件，但不是中标的唯一条件。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2、投标截止时间</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投标人必须在招标文件规定的投标截止时间之前将电子投标文件上传到苏采云系统。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代理机构有权按照法定的要求</w:t>
      </w:r>
      <w:r>
        <w:rPr>
          <w:rFonts w:hint="eastAsia" w:ascii="宋体" w:hAnsi="宋体"/>
          <w:color w:val="auto"/>
          <w:sz w:val="24"/>
          <w:highlight w:val="none"/>
        </w:rPr>
        <w:t xml:space="preserve">顺延投标截止时间和开标时间</w:t>
      </w:r>
      <w:r>
        <w:rPr>
          <w:rFonts w:hint="eastAsia" w:ascii="宋体" w:hAnsi="宋体"/>
          <w:color w:val="auto"/>
          <w:sz w:val="24"/>
          <w:szCs w:val="24"/>
          <w:highlight w:val="none"/>
        </w:rPr>
        <w:t xml:space="preserve">。在此情况下，招标文件收受人和投标人的所有权利和义务以及投标人受制的截止时间均应以延长后新的截止时间为准。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3、投标文件的补充、修改和撤回</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3.1 投标人在投标截止时间之前，可以对其已提交的投标文件进行补充、修改或者撤回。</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 </w:t>
      </w:r>
      <w:r>
        <w:rPr>
          <w:rFonts w:ascii="宋体" w:hAnsi="宋体"/>
          <w:color w:val="auto"/>
          <w:sz w:val="24"/>
          <w:szCs w:val="24"/>
          <w:highlight w:val="none"/>
        </w:rPr>
        <w:t xml:space="preserve">在投标截止时间至招标文件中规定的投标有效期届满这段时间内，投标人不得撤回其投标文件。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4、投标保证金</w:t>
      </w:r>
      <w:r/>
    </w:p>
    <w:p>
      <w:pPr>
        <w:ind w:firstLine="24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本项目不收取投标保证金</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5、投标有效期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投标有效期为招标文件规定的投标截止之日起六十（60）天。承诺的投标有效期少于该规定期限的投标将被拒绝。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highlight w:val="none"/>
        </w:rPr>
      </w:pPr>
      <w:r/>
      <w:bookmarkStart w:id="41" w:name="_Toc158691772"/>
      <w:r/>
      <w:bookmarkStart w:id="42" w:name="_Toc315868056"/>
      <w:r/>
      <w:bookmarkStart w:id="43" w:name="_Toc187920252"/>
      <w:r/>
      <w:bookmarkStart w:id="44" w:name="_Toc315875319"/>
      <w:r/>
      <w:bookmarkStart w:id="45" w:name="_Toc228093024"/>
      <w:r>
        <w:rPr>
          <w:rFonts w:ascii="宋体" w:hAnsi="宋体" w:eastAsia="宋体"/>
          <w:b w:val="0"/>
          <w:color w:val="auto"/>
          <w:highlight w:val="none"/>
        </w:rPr>
        <w:t xml:space="preserve">五、开标与评标</w:t>
      </w:r>
      <w:bookmarkEnd w:id="41"/>
      <w:r/>
      <w:bookmarkEnd w:id="42"/>
      <w:r/>
      <w:bookmarkEnd w:id="43"/>
      <w:r/>
      <w:bookmarkEnd w:id="44"/>
      <w:r/>
      <w:bookmarkEnd w:id="45"/>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1.1远程开标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1.1.1代理机构工作人员将在招标公告中规定的时间和地点组织公开开标。投标人应当按照《操作手册》规定，参加开标活动和在苏采云系统规定的时间内对投标文件进行解密。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1.1.2进入解密环节后，投标人应在30分钟内使用CA锁完成解密，如超出该时间，作无效标处理。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1.1.3开评标过程中，如投标人因所在区域出现断电、断网或其他不可预见原因导致无法参与开评标流程的，该投标人视为无效响应。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1.2现场开标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1.2.1 开标仪式由代理机构组织。苏采云系统将自动对项目进行开标，并宣布各投标人名称和投标价格。</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1.2.2 投标人在开标过程中涉及到的投标文件解密、开标结果确认等工作，应按照《操作手册》规定执行。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1.3开标时间、解密时间均以开标大厅的时间为准。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2、评标委员会</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开标后，代理机构将立即组织评标委员会（以下简称评委会）进行评标。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评委会由五人以上单数的有关技术、经济等方面的专家和采购人代表组成。</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 评委会独立开展工作，负责审议所有投标文件，并推荐中标人。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 评委会将对投标人的商业、技术秘密等予以保密。</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3、对投标文件的审查</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3.1首先对投标文件进行初审，投标文件初审分为资格性检查和符合性检查。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3.3如果投标文件实质上没有响应招标文件的要求，评标委员会将予以拒绝，投标人不得通过修改或撤销不合要求的偏离或保留而使其投标成为实质性响应的投标。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3.4评标委员会将对确定为实质性响应的投标进行进一步审核，看其是否有计算上或累加上的算术错误，修正错误的原则如下：</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非单一产品采购项目，招标文件中将载明其中的核心产品。多家投标人提供的核心产品品牌相同的，按前两款规定处理。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3.8投标人在开、评标全过程中应保持通讯畅通，及时登录苏采云系统查阅、答复相关信息，并安排专人与代理机构及评标委员会联系。</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4、投标文件的澄清（若有）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 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4.2澄清方式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4.2.1远程澄清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4.2.2文字澄清的内容须由投标人法定代表人或授权代表签署，并作为投标文件的补充部分，但不得改变投标文件的实质性内容。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4.3 接到评委会澄清要求的投标人如未按规定作出澄清，其风险由投标人自行承担。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5、投标文件的比较和评价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评委会将严格按照招标文件规定的评标方法和标准，对通过资格性和符合性检查的投标进行综合比较和评价。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评标采用综合评分法，具体评审因素和评分标准见招标文件“第五章 评审因素和评分标准”。</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6、评标过程的保密性</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6.2 在评标过程中，如果投标人试图向代理机构和参与评标的人员施加任何影响，都将会导致其投标被拒绝。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6.3 评标结束后，不退还投标文件。</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7、无效标及废标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7.1投标文件属下列情况之一的，在资格性、符合性检查时按照无效投标处理，应予无效标：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7.1.1投标人在苏采云系统规定的时间内未成功解密电子投标文件的。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7.1.2投标人未按照招标文件要求上传电子投标文件的。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7.1.3同一投标人提交两个（含两个）以上不同的投标报价的。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7.1.4投标人不具备招标文件中规定资格要求的。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7.1.5投标人的报价超过了采购预算或最高限价的。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7.1.6投标人未通过资格性、符合性审查的。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7.1.7不符合招标文件中规定的实质性要求和条件的。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7.1.9 投标文件含有采购人不能接受的附加条件的。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7.1.10不同投标人的电子投标文件制作机器码一致；</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val="zh-CN"/>
        </w:rPr>
        <w:t xml:space="preserve">评审过程中出现下列情形之一的，评审委员会应当启动异常低价投标（响应）审查程序：</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1.3投标（响应）报价低于采购项目最高限价45%的，即投标（响应）报价&lt;采购项目最高限价×45%；</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1.4评审委员会基于专业判断，认为供应商报价过低，有可能影响产品质量或者不能诚信履约的其他情形。</w:t>
      </w:r>
      <w:r/>
    </w:p>
    <w:p>
      <w:pPr>
        <w:ind w:firstLine="36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7.1.12投标文件未按照招标文件要求加盖CA电子公章的。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7.1.13其他法律、法规及本招标文件规定的属无效投标的情形。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7.2废标条款</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7.2.1符合专业条件的供应商或者对招标文件作实质响应的供应商不足三家的。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7.2.2出现影响采购公正的违法、违规行为的。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7.2.3因重大变故，采购任务取消的。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7.2.4评标委员会认定招标文件存在歧义、重大缺陷导致评审工作无法进行。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7.2.5因苏采云系统系统故障原因造成开标不成功的。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7.3 投标截止时间结束后参加投标的供应商不足三家的处理：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54"/>
        <w:spacing w:line="440" w:lineRule="exact"/>
        <w:rPr>
          <w:rFonts w:ascii="宋体" w:hAnsi="宋体" w:eastAsia="宋体"/>
          <w:b w:val="0"/>
          <w:color w:val="auto"/>
          <w:highlight w:val="none"/>
        </w:rPr>
      </w:pPr>
      <w:r/>
      <w:bookmarkStart w:id="46" w:name="_Toc187920253"/>
      <w:r/>
      <w:bookmarkStart w:id="47" w:name="_Toc153283140"/>
      <w:r>
        <w:rPr>
          <w:rFonts w:hint="eastAsia" w:ascii="宋体" w:hAnsi="宋体" w:eastAsia="宋体"/>
          <w:b w:val="0"/>
          <w:color w:val="auto"/>
          <w:highlight w:val="none"/>
        </w:rPr>
        <w:t xml:space="preserve">六、授予合同</w:t>
      </w:r>
      <w:bookmarkEnd w:id="46"/>
      <w:r/>
      <w:bookmarkEnd w:id="47"/>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1、合同授予标准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 评委会根据排列情况将推荐中标人，并根据采购人委托直接确定中标人。中标人并列的，采取随机抽取的方式确定。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2、中标通知书</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评标结束后，代理机构将在规定的时间内向中标人发出中标通知书。</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中标通知书将成为合同的组成部分。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2.3采购代理机构对未中标人不承担解释未中标原因的义务。</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3、签订合同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 如果中标人没有按照规定签订合同，其中标资格将被取消。在此情况下重新组织采购。</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 合同一式四份，中标人、采购人、交易中心、代理机构各执一份，具有同等法律效力。</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653"/>
        <w:rPr>
          <w:b w:val="0"/>
          <w:color w:val="auto"/>
          <w:highlight w:val="none"/>
        </w:rPr>
      </w:pPr>
      <w:r>
        <w:rPr>
          <w:b w:val="0"/>
          <w:color w:val="auto"/>
          <w:highlight w:val="none"/>
        </w:rPr>
        <w:br w:type="page" w:clear="all"/>
      </w:r>
      <w:bookmarkStart w:id="48" w:name="_Toc187920254"/>
      <w:r/>
      <w:bookmarkStart w:id="49" w:name="_Toc315875321"/>
      <w:r/>
      <w:bookmarkStart w:id="50" w:name="_Toc315868058"/>
      <w:r/>
      <w:bookmarkStart w:id="51" w:name="_Toc158691774"/>
      <w:r>
        <w:rPr>
          <w:b w:val="0"/>
          <w:color w:val="auto"/>
          <w:highlight w:val="none"/>
        </w:rPr>
        <w:t xml:space="preserve">第四章  项目需求</w:t>
      </w:r>
      <w:bookmarkEnd w:id="48"/>
      <w:r/>
      <w:bookmarkEnd w:id="49"/>
      <w:r/>
      <w:bookmarkEnd w:id="50"/>
      <w:r/>
      <w:bookmarkEnd w:id="51"/>
      <w:r/>
      <w:r/>
    </w:p>
    <w:p>
      <w:pPr>
        <w:ind w:left="408" w:right="-159"/>
        <w:spacing w:line="400" w:lineRule="exact"/>
        <w:rPr>
          <w:rFonts w:ascii="宋体" w:hAnsi="宋体"/>
          <w:color w:val="auto"/>
          <w:sz w:val="24"/>
          <w:szCs w:val="24"/>
          <w:highlight w:val="none"/>
        </w:rPr>
      </w:pPr>
      <w:r/>
      <w:bookmarkStart w:id="52" w:name="_Toc315875323"/>
      <w:r/>
      <w:bookmarkStart w:id="53" w:name="_Toc158691776"/>
      <w:r/>
      <w:bookmarkStart w:id="54" w:name="_Toc315868060"/>
      <w:r/>
      <w:r/>
    </w:p>
    <w:p>
      <w:pPr>
        <w:ind w:right="-159"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一、项目名称：正电子发射及X射线计算机断层成像系统（PET/CT)</w:t>
      </w:r>
      <w:r/>
    </w:p>
    <w:p>
      <w:pPr>
        <w:ind w:right="-159" w:firstLine="48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二、项目编号：</w:t>
      </w:r>
      <w:r>
        <w:rPr>
          <w:rFonts w:hint="eastAsia" w:ascii="宋体" w:hAnsi="宋体"/>
          <w:color w:val="auto"/>
          <w:sz w:val="24"/>
          <w:szCs w:val="24"/>
          <w:highlight w:val="none"/>
          <w:lang w:eastAsia="zh-CN"/>
        </w:rPr>
        <w:t xml:space="preserve">JSZC-320581-SZWK-G2026-0065</w:t>
      </w:r>
      <w:r/>
    </w:p>
    <w:p>
      <w:pPr>
        <w:ind w:right="-159"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三、采购项目及数量要求：</w:t>
      </w:r>
      <w:r/>
    </w:p>
    <w:tbl>
      <w:tblPr>
        <w:tblStyle w:val="663"/>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376"/>
        <w:gridCol w:w="3119"/>
        <w:gridCol w:w="708"/>
        <w:gridCol w:w="2019"/>
      </w:tblGrid>
      <w:tr>
        <w:trPr>
          <w:trHeight w:val="614"/>
        </w:trPr>
        <w:tc>
          <w:tcPr>
            <w:tcW w:w="992"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分包号</w:t>
            </w:r>
            <w:r/>
          </w:p>
        </w:tc>
        <w:tc>
          <w:tcPr>
            <w:tcW w:w="2376"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3119"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设备名称</w:t>
            </w:r>
            <w:r/>
          </w:p>
        </w:tc>
        <w:tc>
          <w:tcPr>
            <w:tcW w:w="70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2019"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695"/>
        </w:trPr>
        <w:tc>
          <w:tcPr>
            <w:tcW w:w="992"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76" w:type="dxa"/>
            <w:vAlign w:val="center"/>
            <w:vMerge w:val="restart"/>
            <w:textDirection w:val="lrTb"/>
            <w:noWrap w:val="false"/>
          </w:tcPr>
          <w:p>
            <w:pPr>
              <w:jc w:val="center"/>
              <w:spacing w:line="3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常熟市第二人民医院</w:t>
            </w:r>
            <w:r/>
          </w:p>
        </w:tc>
        <w:tc>
          <w:tcPr>
            <w:tcW w:w="3119" w:type="dxa"/>
            <w:vAlign w:val="center"/>
            <w:textDirection w:val="lrTb"/>
            <w:noWrap w:val="false"/>
          </w:tcPr>
          <w:p>
            <w:pPr>
              <w:ind w:right="-159"/>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正电子发射及X射线计算机断层成像系统（PET/CT)</w:t>
            </w:r>
            <w:r/>
          </w:p>
          <w:p>
            <w:pPr>
              <w:ind w:right="-159"/>
              <w:spacing w:line="4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rPr>
                <w:rFonts w:hint="eastAsia" w:ascii="宋体" w:hAnsi="宋体"/>
                <w:b/>
                <w:bCs/>
                <w:color w:val="auto"/>
                <w:sz w:val="24"/>
                <w:szCs w:val="24"/>
                <w:highlight w:val="none"/>
                <w:lang w:val="en-US" w:eastAsia="zh-CN"/>
              </w:rPr>
              <w:t xml:space="preserve">核心产品</w:t>
            </w:r>
            <w:r>
              <w:rPr>
                <w:rFonts w:hint="eastAsia" w:ascii="宋体" w:hAnsi="宋体"/>
                <w:color w:val="auto"/>
                <w:sz w:val="24"/>
                <w:szCs w:val="24"/>
                <w:highlight w:val="none"/>
                <w:lang w:val="en-US" w:eastAsia="zh-CN"/>
              </w:rPr>
              <w:t xml:space="preserve">）</w:t>
            </w:r>
            <w:r/>
          </w:p>
        </w:tc>
        <w:tc>
          <w:tcPr>
            <w:tcW w:w="70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1套</w:t>
            </w:r>
            <w:r/>
          </w:p>
        </w:tc>
        <w:tc>
          <w:tcPr>
            <w:tcW w:w="2019"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不接受进口产品</w:t>
            </w:r>
            <w:r/>
          </w:p>
        </w:tc>
      </w:tr>
      <w:tr>
        <w:trPr>
          <w:trHeight w:val="435"/>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ind w:right="-159"/>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防护通风橱1套</w:t>
            </w:r>
            <w:r/>
          </w:p>
        </w:tc>
        <w:tc>
          <w:tcPr>
            <w:tcW w:w="708"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5"/>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ind w:right="-159"/>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注射器防护套2个</w:t>
            </w:r>
            <w:r/>
          </w:p>
        </w:tc>
        <w:tc>
          <w:tcPr>
            <w:tcW w:w="708"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95"/>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ind w:right="-159"/>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放射性药物残留监测系统</w:t>
            </w:r>
            <w:r/>
          </w:p>
          <w:p>
            <w:pPr>
              <w:ind w:right="-159"/>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套</w:t>
            </w:r>
            <w:r/>
          </w:p>
        </w:tc>
        <w:tc>
          <w:tcPr>
            <w:tcW w:w="708"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10"/>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ind w:right="-159"/>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手足污染监测系统1套</w:t>
            </w:r>
            <w:r/>
          </w:p>
        </w:tc>
        <w:tc>
          <w:tcPr>
            <w:tcW w:w="708"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10"/>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ind w:right="-159"/>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放射性废弃物铅箱4个</w:t>
            </w:r>
            <w:r/>
          </w:p>
        </w:tc>
        <w:tc>
          <w:tcPr>
            <w:tcW w:w="708"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35"/>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铅屏风2个</w:t>
            </w:r>
            <w:r/>
          </w:p>
        </w:tc>
        <w:tc>
          <w:tcPr>
            <w:tcW w:w="708"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0"/>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ind w:right="-159"/>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便携式个人剂量报警仪4个</w:t>
            </w:r>
            <w:r/>
          </w:p>
        </w:tc>
        <w:tc>
          <w:tcPr>
            <w:tcW w:w="708"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3"/>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ind w:right="-159"/>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铅衣、围脖、眼镜、手套</w:t>
            </w:r>
            <w:r/>
          </w:p>
          <w:p>
            <w:pPr>
              <w:ind w:right="-159"/>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套</w:t>
            </w:r>
            <w:r/>
          </w:p>
        </w:tc>
        <w:tc>
          <w:tcPr>
            <w:tcW w:w="708"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35"/>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F18全自动核素分装系统</w:t>
            </w:r>
            <w:r/>
          </w:p>
        </w:tc>
        <w:tc>
          <w:tcPr>
            <w:tcW w:w="708" w:type="dxa"/>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套</w:t>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3"/>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活度计</w:t>
            </w:r>
            <w:r/>
          </w:p>
        </w:tc>
        <w:tc>
          <w:tcPr>
            <w:tcW w:w="70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个</w:t>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08"/>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19" w:type="dxa"/>
            <w:vAlign w:val="center"/>
            <w:textDirection w:val="lrTb"/>
            <w:noWrap w:val="false"/>
          </w:tcPr>
          <w:p>
            <w:pPr>
              <w:ind w:right="-159"/>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核医学科管理系统</w:t>
            </w:r>
            <w:r/>
          </w:p>
        </w:tc>
        <w:tc>
          <w:tcPr>
            <w:tcW w:w="708" w:type="dxa"/>
            <w:vAlign w:val="center"/>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1套</w:t>
            </w:r>
            <w:r/>
          </w:p>
        </w:tc>
        <w:tc>
          <w:tcPr>
            <w:tcW w:w="2019"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总体要求：为保证PET/CT产品中CT的稳定性，要求所投产品所搭载的CT平台为投标产品的同一公司生产，</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提供检测报告证明；</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PET/CT技术和性能参数要求</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1、技术要求</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机架部分</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1.1.1提供PET和CT一体化机架</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▲1.1.2机架孔径：≥760mm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★1.1.3冷却方式：水冷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不接受风冷</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提供激光定位系统</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提供交互式应答系统</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提供呼吸导航系统</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机架长度或厚度≤160cm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扫描床</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1.2.1最长可扫描长度：≥1900mm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1.2.2最大水平移动范围：≥2000mm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1.2.3最大承载量：≥226Kg</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1.2.4提供患者安全保护装置</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CT部分</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1.3.1探测器</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1.3.1.1探测器材料：固态稀土陶瓷</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1.3.1.2探测器排数（物理探测器,不含重建层数）：≥32排</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1.3.1.3探测器Z轴覆盖范围：≥19mm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1.3.1.4探测器单元数：≥20000个</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1.3.2球管和高压发生器</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球管阳极热容量：≥30MHU</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eastAsia="宋体" w:cs="Calibri"/>
          <w:color w:val="auto"/>
          <w:sz w:val="24"/>
          <w:highlight w:val="none"/>
        </w:rPr>
        <w:t xml:space="preserve">★</w:t>
      </w:r>
      <w:r>
        <w:rPr>
          <w:rFonts w:hint="eastAsia" w:ascii="宋体" w:hAnsi="宋体" w:cs="宋体"/>
          <w:color w:val="auto"/>
          <w:sz w:val="24"/>
          <w:szCs w:val="24"/>
          <w:highlight w:val="none"/>
        </w:rPr>
        <w:t xml:space="preserve">1.3.2.2球管大焦点尺寸：≥0.9mm*1.0mm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1.3.2.3球管小焦点尺寸：≤0.7mm*0.9mm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高压发生器最大功率：≥80kW</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1.3.2.5最大管电流：≥660mA</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1.3.2.6最小管电流：≤20mA</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1.3.2.7最大管电压：≥140kv</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1.3.2.8最小管电压：≤70kv</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1.3.3提供超低剂量扫描</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1.3.4提供自适应管电流调制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1.3.5提供自适应管电压调制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PET部分</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★1.4.1探测器晶体类型：LSO或LBS或LYSO,非BGO或BGLS或LDBS</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▲1.4.2晶体尺寸：≥3.</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mm*3.</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mm</w:t>
      </w:r>
      <w:r>
        <w:rPr>
          <w:rFonts w:hint="eastAsia" w:ascii="宋体" w:hAnsi="宋体" w:cs="宋体"/>
          <w:color w:val="auto"/>
          <w:sz w:val="24"/>
          <w:szCs w:val="24"/>
          <w:highlight w:val="none"/>
        </w:rPr>
        <w:tab/>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mm*</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mm</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▲1.4.3晶体厚度：≥20mm</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或PET轴向视野：≥</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00mm</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▲1.4.4探测器晶体环数：≥60</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1.4.5总晶体数量：≥20000</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★1.4.6探测器光电转换模块类型：数字化SiPM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1.4.7探测器冷却方式：自报</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1.4.8衰减校正方式：CT衰减校正</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1.4.9校准源类型：支持68Ge或18F校正源</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2、性能指标</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PET部分</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SIPM数量≥9000</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2.1.2横向扫描视野：≥700mm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★2.1.3符合时间窗：≥4.5ns（不接受范围值响应）</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▲2.1.4最大重建矩阵：≥512*512</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2.1.5系统空间分辨率（FWHM mm，FBP算法，NEMA标准）</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2.1.5.1横向空间分辨率距中心1cm：≤4.0mm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2.1.5.2横向空间分辨率距中心10cm：≤4.5mm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2.1.5.3轴向空间分辨率距中心1cm：≤4.0mm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2.1.5.4轴向空间分辨率距中心10cm：≤4.5mm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2.1.6系统灵敏度：≥11cps/kBq</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2.1.7散射分数（3D采集模式）：≤41%</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★2.1.8能量分辨率：≤9.8%</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▲2.1.9 TOF飞行时间技术分辨率：≤350ps</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CT部分</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★2.2.1机架旋转速度：≤0.35s/360°</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2.2.2图像重建层厚：≤0.625mm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2.2.3最长连续曝光时间：≥100s</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2.2.4扫描FOV：≥500mm</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2.2.5图像重建矩阵：≥512*512</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2.2.6 X-Y平面、Z平面空间分辨率：≥24LP/cm@MTF0%</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2.2.7低对比度分辨率：≤5mm@0.3%</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PET/CT部分</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2.3.1提供PET心电门控系统</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3、应用软件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PET应用软件</w:t>
      </w:r>
      <w:r>
        <w:rPr>
          <w:rFonts w:hint="eastAsia" w:ascii="宋体" w:hAnsi="宋体" w:cs="宋体"/>
          <w:color w:val="auto"/>
          <w:sz w:val="24"/>
          <w:szCs w:val="24"/>
          <w:highlight w:val="none"/>
        </w:rPr>
        <w:tab/>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3.1.1提供图像采集软件（包含静态、动态、门控、3D、脑等）</w:t>
      </w:r>
      <w:r>
        <w:rPr>
          <w:rFonts w:hint="eastAsia" w:ascii="宋体" w:hAnsi="宋体" w:cs="宋体"/>
          <w:color w:val="auto"/>
          <w:sz w:val="24"/>
          <w:szCs w:val="24"/>
          <w:highlight w:val="none"/>
        </w:rPr>
        <w:tab/>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图像处理（重建）软件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图像显示软件</w:t>
      </w:r>
      <w:r>
        <w:rPr>
          <w:rFonts w:hint="eastAsia" w:ascii="宋体" w:hAnsi="宋体" w:cs="宋体"/>
          <w:color w:val="auto"/>
          <w:sz w:val="24"/>
          <w:szCs w:val="24"/>
          <w:highlight w:val="none"/>
          <w:lang w:eastAsia="zh-CN"/>
        </w:rPr>
        <w:t xml:space="preserve">。</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提供定量分析软件（SUV，VOI等）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校正软件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质量控制软件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NEMA测试软件</w:t>
      </w:r>
      <w:r>
        <w:rPr>
          <w:rFonts w:hint="eastAsia" w:ascii="宋体" w:hAnsi="宋体" w:cs="宋体"/>
          <w:color w:val="auto"/>
          <w:sz w:val="24"/>
          <w:szCs w:val="24"/>
          <w:highlight w:val="none"/>
          <w:lang w:eastAsia="zh-CN"/>
        </w:rPr>
        <w:t xml:space="preserve">。</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3D迭代重建软件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正则化迭代重建软件</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提供肿瘤疗效评估软件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提供神经分析软件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提供心脏分析软件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CT应用软件</w:t>
      </w:r>
      <w:r>
        <w:rPr>
          <w:rFonts w:hint="eastAsia" w:ascii="宋体" w:hAnsi="宋体" w:cs="宋体"/>
          <w:color w:val="auto"/>
          <w:sz w:val="24"/>
          <w:szCs w:val="24"/>
          <w:highlight w:val="none"/>
        </w:rPr>
        <w:tab/>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3.2.1提供图像采集软件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图像显示软件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图像分析软件</w:t>
      </w:r>
      <w:r>
        <w:rPr>
          <w:rFonts w:hint="eastAsia" w:ascii="宋体" w:hAnsi="宋体" w:cs="宋体"/>
          <w:color w:val="auto"/>
          <w:sz w:val="24"/>
          <w:szCs w:val="24"/>
          <w:highlight w:val="none"/>
          <w:lang w:eastAsia="zh-CN"/>
        </w:rPr>
        <w:t xml:space="preserve">。</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3.2.2提供图像处理（重建）软件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提供校正软件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提供质量控制软件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提供辐射剂量计算软件</w:t>
      </w:r>
      <w:r>
        <w:rPr>
          <w:rFonts w:hint="eastAsia" w:ascii="宋体" w:hAnsi="宋体" w:cs="宋体"/>
          <w:color w:val="auto"/>
          <w:sz w:val="24"/>
          <w:szCs w:val="24"/>
          <w:highlight w:val="none"/>
        </w:rPr>
        <w:tab/>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提供低剂量软件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提供自动剂量调节软件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提供低剂量肺部扫描</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提供CT迭代降噪</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提供冠脉分析软件</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提供CT超高分辨率技术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提供CT造影剂自动跟踪软件</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PET/CT应用软件</w:t>
      </w:r>
      <w:r>
        <w:rPr>
          <w:rFonts w:hint="eastAsia" w:ascii="宋体" w:hAnsi="宋体" w:cs="宋体"/>
          <w:color w:val="auto"/>
          <w:sz w:val="24"/>
          <w:szCs w:val="24"/>
          <w:highlight w:val="none"/>
        </w:rPr>
        <w:tab/>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3.3.1提供同机图像融合软件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异机图</w:t>
      </w:r>
      <w:bookmarkStart w:id="135" w:name="_GoBack"/>
      <w:r/>
      <w:bookmarkEnd w:id="135"/>
      <w:r>
        <w:rPr>
          <w:rFonts w:hint="eastAsia" w:ascii="宋体" w:hAnsi="宋体" w:cs="宋体"/>
          <w:color w:val="auto"/>
          <w:sz w:val="24"/>
          <w:szCs w:val="24"/>
          <w:highlight w:val="none"/>
        </w:rPr>
        <w:t xml:space="preserve">像融合软件</w:t>
      </w:r>
      <w:r>
        <w:rPr>
          <w:rFonts w:hint="eastAsia" w:ascii="宋体" w:hAnsi="宋体" w:cs="宋体"/>
          <w:color w:val="auto"/>
          <w:sz w:val="24"/>
          <w:szCs w:val="24"/>
          <w:highlight w:val="none"/>
          <w:lang w:eastAsia="zh-CN"/>
        </w:rPr>
        <w:t xml:space="preserve">。</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提供图像处理软件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图像显示软件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图像分析软件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提供校正软件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提供质量控制软件</w:t>
      </w:r>
      <w:r>
        <w:rPr>
          <w:rFonts w:hint="eastAsia" w:ascii="宋体" w:hAnsi="宋体" w:cs="宋体"/>
          <w:color w:val="auto"/>
          <w:sz w:val="24"/>
          <w:szCs w:val="24"/>
          <w:highlight w:val="none"/>
        </w:rPr>
        <w:tab/>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提供图像传输软件</w:t>
      </w:r>
      <w:r>
        <w:rPr>
          <w:rFonts w:hint="eastAsia" w:ascii="宋体" w:hAnsi="宋体" w:cs="宋体"/>
          <w:color w:val="auto"/>
          <w:sz w:val="24"/>
          <w:szCs w:val="24"/>
          <w:highlight w:val="none"/>
        </w:rPr>
        <w:tab/>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）配套设备要求</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1、防护及检测设备技术参数</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1.1防护通风橱1套</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（1）整体铅屏蔽防护当量50mmPb可定制，内胆设计符合GMP要求，内置强风负压排风机组，内置放射性气体过滤器，风速达到：1.2m/秒，符合卫生要求。</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（2）整体外饰面采用钢板喷涂，内胆采用不低于1.5mm厚不锈钢板（304）材质。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（3）正面设有操作手孔和铅玻璃视窗（铅玻璃≥250mm*200mm），保证防护及使用安全和观察；柜体侧边需设置侧开式防护门，并采用双锁控制，方便进行物体传送。</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（4）内部配置有药物传送升降系统、活度计电离室屏蔽井、放射性固体废物箱、弱电控制系统、照明系统、杀菌系统等，电离井与所提供的活度计相匹配。</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（5）外形尺寸：≥1100mm*950mm*2300mm；内胆尺寸：≥800mm*700mm*700mm，当量：50mmbp。</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1.2注射器防护套2个</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（1）材质：钨合金；</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（2）比重：≈18g/cm³</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（3）铅屏蔽：≥8mmpb；</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（4）厚度：≤2.5mm；</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（5）衰减：86%@Tc-99；</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1.3放射性药物残留监测系统1套</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（1）能量探测性能：能量响应范围30keV-3MeV，能量分辨率7.6%（662keV）；</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（2）探测灵敏度：≥3000CPM/mR/h</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（3）量程：0.1µSv/h~5mSv/h</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（4）供电要求：AC100—240V，50/60Hz</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（5）功率：探头功率220V/30W，控制器功率220V/50W</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（6）防护等级：IP53</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（7）环境温度：使用-20℃-45℃，存储-35℃-55℃</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（8）环境湿度：≤95%</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（9）身份识别：读取身份证信息完成自动识别，并支持智能身份识别和虹膜识别双重生物识别技术</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1.4手足污染监测系统1套</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（1）探头类型：闪烁体探测器；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（2）探头数量：手部*2，足部*2；</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（3）灵敏区面积：手部≥100mm*200mm，足部≥120mm*280mm；</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（4）测量范围：计数：0~9999.9cps；剂量率：0.01μSv/h~5000μSv/h；</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（5）触控屏：≥8.4寸LCD显示，分辨率≥800*600；</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（6）接口：支持RS-232/RJ45/WiFi；</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（7）报警设置：自定义报警等级；</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（8）电源：220V，50/60Hz；</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（9）工作温度：-20℃~70℃；</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（10）防护等级：IP54。</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1.5放射性废弃物铅箱4个</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（1）材质：铅、不锈钢；</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（2）旋开式废物投放口；</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（3）带锁紧的承重万向脚轮；</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（4）可以移动或固定放置；</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（5）屏蔽：20mmPb；</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（6）尺寸：≥450mm(H) * 260mm(D)；</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1.6铅屏风2个</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1.7便携式个人剂量报警仪4个</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1.8铅衣、围脖、眼镜、手套4套</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2、F18全自动核素分装系统一套</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3、活度计一个</w:t>
      </w:r>
      <w:r/>
    </w:p>
    <w:p>
      <w:pPr>
        <w:ind w:firstLine="480"/>
        <w:spacing w:line="400" w:lineRule="exact"/>
        <w:rPr>
          <w:rFonts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 xml:space="preserve">4、核医学科管理系统1套</w:t>
      </w:r>
      <w:r/>
    </w:p>
    <w:tbl>
      <w:tblPr>
        <w:tblStyle w:val="663"/>
        <w:tblpPr w:horzAnchor="text" w:tblpX="117" w:vertAnchor="text" w:tblpY="1" w:leftFromText="180" w:topFromText="0" w:rightFromText="180" w:bottomFromText="0"/>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3618"/>
        <w:gridCol w:w="5245"/>
      </w:tblGrid>
      <w:tr>
        <w:trPr>
          <w:trHeight w:val="556"/>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shd w:val="clear" w:color="auto" w:fill="auto"/>
            <w:tcW w:w="3618" w:type="dxa"/>
            <w:vAlign w:val="center"/>
            <w:textDirection w:val="lrTb"/>
            <w:noWrap/>
          </w:tcPr>
          <w:p>
            <w:pPr>
              <w:ind w:firstLine="480"/>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名称</w:t>
            </w:r>
            <w:r/>
          </w:p>
        </w:tc>
        <w:tc>
          <w:tcPr>
            <w:shd w:val="clear" w:color="auto" w:fill="auto"/>
            <w:tcW w:w="5245" w:type="dxa"/>
            <w:vAlign w:val="center"/>
            <w:textDirection w:val="lrTb"/>
            <w:noWrap w:val="false"/>
          </w:tcPr>
          <w:p>
            <w:pPr>
              <w:ind w:firstLine="480"/>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规格</w:t>
            </w:r>
            <w:r/>
          </w:p>
        </w:tc>
      </w:tr>
      <w:tr>
        <w:trPr>
          <w:trHeight w:val="556"/>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用途</w:t>
            </w:r>
            <w:r/>
          </w:p>
        </w:tc>
        <w:tc>
          <w:tcPr>
            <w:gridSpan w:val="2"/>
            <w:shd w:val="clear" w:color="auto" w:fill="auto"/>
            <w:tcW w:w="8863" w:type="dxa"/>
            <w:vAlign w:val="center"/>
            <w:textDirection w:val="lrTb"/>
            <w:noWrap/>
          </w:tcPr>
          <w:p>
            <w:pPr>
              <w:ind w:firstLine="480"/>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将完整的核医学诊断流程进行全面管理，并针对技术质控过程提供管理和统计工具，建立成包括了患者信息、检查图像、诊断报告、病史信息、药物信息、注射信息、随访信息的大型综合资料库，从而成为核医学科强化质控管理和资料管理的有力工具。</w:t>
            </w:r>
            <w:r/>
          </w:p>
        </w:tc>
      </w:tr>
      <w:tr>
        <w:trPr>
          <w:trHeight w:val="423"/>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配套硬件</w:t>
            </w:r>
            <w:r/>
          </w:p>
        </w:tc>
        <w:tc>
          <w:tcPr>
            <w:tcW w:w="5245"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706"/>
        </w:trPr>
        <w:tc>
          <w:tcPr>
            <w:shd w:val="clear" w:color="auto" w:fill="auto"/>
            <w:tcW w:w="864" w:type="dxa"/>
            <w:vAlign w:val="center"/>
            <w:textDirection w:val="lrTb"/>
            <w:noWrap/>
          </w:tcPr>
          <w:p>
            <w:pPr>
              <w:jc w:val="cente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1</w:t>
            </w:r>
            <w:r/>
          </w:p>
        </w:tc>
        <w:tc>
          <w:tcPr>
            <w:shd w:val="clear" w:color="auto" w:fill="auto"/>
            <w:tcW w:w="3618" w:type="dxa"/>
            <w:vAlign w:val="center"/>
            <w:textDirection w:val="lrTb"/>
            <w:noWrap/>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高拍仪（1台）</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图像传感器：</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500万/拍摄幅面：</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A3/拍摄速度：</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1秒</w:t>
            </w:r>
            <w:r/>
          </w:p>
        </w:tc>
      </w:tr>
      <w:tr>
        <w:trPr>
          <w:trHeight w:val="546"/>
        </w:trPr>
        <w:tc>
          <w:tcPr>
            <w:shd w:val="clear" w:color="auto" w:fill="auto"/>
            <w:tcW w:w="864" w:type="dxa"/>
            <w:vAlign w:val="center"/>
            <w:textDirection w:val="lrTb"/>
            <w:noWrap/>
          </w:tcPr>
          <w:p>
            <w:pPr>
              <w:jc w:val="cente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2</w:t>
            </w:r>
            <w:r/>
          </w:p>
        </w:tc>
        <w:tc>
          <w:tcPr>
            <w:shd w:val="clear" w:color="auto" w:fill="ffffff" w:themeFill="background1"/>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二维码扫描枪（2个）</w:t>
            </w:r>
            <w:r/>
          </w:p>
        </w:tc>
        <w:tc>
          <w:tcPr>
            <w:shd w:val="clear" w:color="auto" w:fill="auto"/>
            <w:tcW w:w="5245" w:type="dxa"/>
            <w:vAlign w:val="center"/>
            <w:textDirection w:val="lrTb"/>
            <w:noWrap w:val="false"/>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二维码扫码枪</w:t>
            </w:r>
            <w:r/>
          </w:p>
        </w:tc>
      </w:tr>
      <w:tr>
        <w:trPr>
          <w:trHeight w:val="423"/>
        </w:trPr>
        <w:tc>
          <w:tcPr>
            <w:shd w:val="clear" w:color="auto" w:fill="auto"/>
            <w:tcW w:w="864" w:type="dxa"/>
            <w:vAlign w:val="center"/>
            <w:textDirection w:val="lrTb"/>
            <w:noWrap/>
          </w:tcPr>
          <w:p>
            <w:pPr>
              <w:jc w:val="cente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3</w:t>
            </w:r>
            <w:r/>
          </w:p>
        </w:tc>
        <w:tc>
          <w:tcPr>
            <w:shd w:val="clear" w:color="auto" w:fill="ffffff" w:themeFill="background1"/>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手签板（1个）</w:t>
            </w:r>
            <w:r/>
          </w:p>
        </w:tc>
        <w:tc>
          <w:tcPr>
            <w:shd w:val="clear" w:color="auto" w:fill="auto"/>
            <w:tcW w:w="5245" w:type="dxa"/>
            <w:vAlign w:val="center"/>
            <w:textDirection w:val="lrTb"/>
            <w:noWrap w:val="false"/>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手签版</w:t>
            </w:r>
            <w:r/>
          </w:p>
        </w:tc>
      </w:tr>
      <w:tr>
        <w:trPr>
          <w:trHeight w:val="423"/>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专业医用软件</w:t>
            </w:r>
            <w:r/>
          </w:p>
        </w:tc>
        <w:tc>
          <w:tcPr>
            <w:shd w:val="clear" w:color="auto" w:fill="auto"/>
            <w:tcW w:w="5245" w:type="dxa"/>
            <w:vAlign w:val="center"/>
            <w:textDirection w:val="lrTb"/>
            <w:noWrap w:val="false"/>
          </w:tcPr>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1657"/>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报告Web临床发布系统（1套）</w:t>
            </w:r>
            <w:r/>
          </w:p>
        </w:tc>
        <w:tc>
          <w:tcPr>
            <w:shd w:val="clear" w:color="auto" w:fill="auto"/>
            <w:tcW w:w="5245" w:type="dxa"/>
            <w:vAlign w:val="center"/>
            <w:textDirection w:val="lrTb"/>
            <w:noWrap w:val="false"/>
          </w:tcPr>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2.1.1提供报告的WEB调阅浏览，科室可以管理、控制及调度发布的检查信息。</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2.1.2临床医生可通过WEB浏览器查询浏览文字报告、典型图像及PDF格式图文报告。</w:t>
            </w:r>
            <w:r/>
          </w:p>
        </w:tc>
      </w:tr>
      <w:tr>
        <w:trPr>
          <w:trHeight w:val="2157"/>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2.2</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网页版临床融合阅片系统（1套）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2.2.1提供影像的WEB浏览和融合后处理功能，科室可以管理、控制及调度发布的图像信息。</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2.2.2可通过WEB浏览器浏览原始断层图像、融合后断层图像、MPR重组图像。</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2.2.3可通过WEB浏览器在线进行图像融合后处理操作及测算SUV、更换色谱等。</w:t>
            </w:r>
            <w:r/>
          </w:p>
        </w:tc>
      </w:tr>
      <w:tr>
        <w:trPr>
          <w:trHeight w:val="932"/>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预约登记工作站（1套）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2.3.1二维码扫描。预警机制。报告电子签收。</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2.3.2医保卡、身份证、就诊卡识别。</w:t>
            </w:r>
            <w:r/>
          </w:p>
        </w:tc>
      </w:tr>
      <w:tr>
        <w:trPr>
          <w:trHeight w:val="633"/>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2.4</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核素药物生产管理系统（1套）</w:t>
            </w:r>
            <w:r/>
          </w:p>
        </w:tc>
        <w:tc>
          <w:tcPr>
            <w:shd w:val="clear" w:color="auto" w:fill="auto"/>
            <w:tcW w:w="5245" w:type="dxa"/>
            <w:vAlign w:val="center"/>
            <w:textDirection w:val="lrTb"/>
            <w:noWrap w:val="false"/>
          </w:tcPr>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2.4.1放射性药物注射流程和药物质量控制。</w:t>
            </w:r>
            <w:r/>
          </w:p>
        </w:tc>
      </w:tr>
      <w:tr>
        <w:trPr>
          <w:trHeight w:val="771"/>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技师质控工作站（1套）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2.5.1护理和技术质控工作站软件，技师注射工作站软件。</w:t>
            </w:r>
            <w:r/>
          </w:p>
        </w:tc>
      </w:tr>
      <w:tr>
        <w:trPr>
          <w:trHeight w:val="781"/>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2.6</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多媒体叫号系统（1套）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2.6.1模块化叫号，可组合式自定义叫号细则，可编辑。</w:t>
            </w:r>
            <w:r/>
          </w:p>
        </w:tc>
      </w:tr>
      <w:tr>
        <w:trPr>
          <w:trHeight w:val="1674"/>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病史问诊工作站（1套）</w:t>
            </w:r>
            <w:r/>
          </w:p>
        </w:tc>
        <w:tc>
          <w:tcPr>
            <w:shd w:val="clear" w:color="auto" w:fill="auto"/>
            <w:tcW w:w="5245" w:type="dxa"/>
            <w:vAlign w:val="center"/>
            <w:textDirection w:val="lrTb"/>
            <w:noWrap w:val="false"/>
          </w:tcPr>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2.7.1多媒体问诊。多媒体叫号。随访。</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2.7.2病史资料数字化模块。核医学图像融合后处理软件。</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2.7.3 3D容积重建及融合模块。输出及光盘刻录软件。</w:t>
            </w:r>
            <w:r/>
          </w:p>
        </w:tc>
      </w:tr>
      <w:tr>
        <w:trPr>
          <w:trHeight w:val="422"/>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报告融合工作站（3套）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2.8.1自动分配报告，报告质控，报告修改痕迹及结构化修改痕迹查看。</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2.8.2核医学图像融合后处理软件。3D容积重建及融合模块。输出及光盘刻录软件。报告管理工作软件。</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2.8.3多媒体问诊。效能评估。图像质控。</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2.8.4专业统计。预警机制。二维码扫描。</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2.8.5 TNM分期。随访。</w:t>
            </w:r>
            <w:r/>
          </w:p>
        </w:tc>
      </w:tr>
      <w:tr>
        <w:trPr>
          <w:trHeight w:val="3215"/>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主任审核融合工作站（1套）</w:t>
            </w:r>
            <w:r/>
          </w:p>
        </w:tc>
        <w:tc>
          <w:tcPr>
            <w:shd w:val="clear" w:color="auto" w:fill="auto"/>
            <w:tcW w:w="5245" w:type="dxa"/>
            <w:vAlign w:val="center"/>
            <w:textDirection w:val="lrTb"/>
            <w:noWrap w:val="false"/>
          </w:tcPr>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2.9.1 PET/CT图文报告审核软件。</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2.9.2自动分配审核，报告质控，报告修改痕迹及结构化修改痕迹查看。</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2.9.3多媒体问诊。效能评估。图像质控。</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2.9.4专业统计。预警机制。</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2.9.5二维码扫描TNM分期。随访。</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2.9.6 PET/CT图像融合后处理软件。</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2.9.7 3D容积重建及融合模块。</w:t>
            </w:r>
            <w:r/>
          </w:p>
          <w:p>
            <w:pPr>
              <w:spacing w:line="3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2.9.8输出及光盘刻录软件。</w:t>
            </w:r>
            <w:r/>
          </w:p>
        </w:tc>
      </w:tr>
      <w:tr>
        <w:trPr>
          <w:trHeight w:val="2071"/>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2.10</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核医学教学科研软件（1套）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2.10.1支持核医学人员教学、培训，集成于报告系统中。</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2.10.2提供教学库、科研库、疑难库。</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2.10.3提供学术论文管理、个人文件管理。</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2.10.4提供共享资料管理。提供评论、留言功能</w:t>
            </w:r>
            <w:r/>
          </w:p>
        </w:tc>
      </w:tr>
      <w:tr>
        <w:trPr>
          <w:trHeight w:val="1549"/>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2.11</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SPECT定量分析工作站（1套）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2.11.1DICOM管理模块。</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2.11.2 SPECT融合后处理模块。</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2.11.3 3D VQ Calibration模块。</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2.11.4 SPECT定量计算模块。</w:t>
            </w:r>
            <w:r/>
          </w:p>
        </w:tc>
      </w:tr>
      <w:tr>
        <w:trPr>
          <w:trHeight w:val="1196"/>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2.12</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ECT后处理工作站（1套）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2.12.1全身骨后处理模块</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2.12.2甲状腺后处理模块</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2.12.3肾动态后处理模块</w:t>
            </w:r>
            <w:r/>
          </w:p>
        </w:tc>
      </w:tr>
      <w:tr>
        <w:trPr>
          <w:trHeight w:val="1726"/>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2.13</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核医学病房管理工作站（1套）</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2.13.1提供多媒体医嘱系统。</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2.13.2病人可视化，科学化管理。</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2.13.3提供病人检测架构，可与辐射检测系统无缝对接。</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2.13.4病人提醒模块，随访模块。</w:t>
            </w:r>
            <w:r/>
          </w:p>
        </w:tc>
      </w:tr>
      <w:tr>
        <w:trPr>
          <w:trHeight w:val="869"/>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2.14</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院网接口系统</w:t>
            </w:r>
            <w:r/>
          </w:p>
        </w:tc>
        <w:tc>
          <w:tcPr>
            <w:shd w:val="clear" w:color="auto" w:fill="auto"/>
            <w:tcW w:w="5245" w:type="dxa"/>
            <w:vAlign w:val="center"/>
            <w:textDirection w:val="lrTb"/>
            <w:noWrap w:val="false"/>
          </w:tcPr>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2.14.1申请单接口</w:t>
            </w:r>
            <w:r/>
          </w:p>
          <w:p>
            <w:pPr>
              <w:spacing w:line="3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2.14.2报告回传接口</w:t>
            </w:r>
            <w:r/>
          </w:p>
        </w:tc>
      </w:tr>
      <w:tr>
        <w:trPr>
          <w:trHeight w:val="1687"/>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2.15</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核医学云报告融合系统（1套）</w:t>
            </w:r>
            <w:r/>
          </w:p>
        </w:tc>
        <w:tc>
          <w:tcPr>
            <w:shd w:val="clear" w:color="auto" w:fill="auto"/>
            <w:tcW w:w="5245" w:type="dxa"/>
            <w:vAlign w:val="center"/>
            <w:textDirection w:val="lrTb"/>
            <w:noWrap w:val="false"/>
          </w:tcPr>
          <w:p>
            <w:pPr>
              <w:spacing w:line="32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提供云端书写/审核PET报告功能，提供云端PET检查影像调阅及融合后处理功能。真正实现云端多中心一键切换、多中心一体化诊断报告，内部医生一体化诊断报告协作平台、外部专家诊断报告一体化平台。</w:t>
            </w:r>
            <w:r/>
          </w:p>
        </w:tc>
      </w:tr>
      <w:tr>
        <w:trPr>
          <w:trHeight w:val="760"/>
        </w:trPr>
        <w:tc>
          <w:tcPr>
            <w:shd w:val="clear" w:color="auto" w:fill="auto"/>
            <w:tcW w:w="864" w:type="dxa"/>
            <w:vAlign w:val="center"/>
            <w:textDirection w:val="lrTb"/>
            <w:noWrap/>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2.16</w:t>
            </w:r>
            <w:r/>
          </w:p>
        </w:tc>
        <w:tc>
          <w:tcPr>
            <w:shd w:val="clear" w:color="auto" w:fill="auto"/>
            <w:tcW w:w="3618" w:type="dxa"/>
            <w:vAlign w:val="center"/>
            <w:textDirection w:val="lrTb"/>
            <w:noWrap/>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骨密度报告工作站（1套）</w:t>
            </w:r>
            <w:r/>
          </w:p>
        </w:tc>
        <w:tc>
          <w:tcPr>
            <w:shd w:val="clear" w:color="auto" w:fill="auto"/>
            <w:tcW w:w="5245" w:type="dxa"/>
            <w:vAlign w:val="center"/>
            <w:textDirection w:val="lrTb"/>
            <w:noWrap w:val="false"/>
          </w:tcPr>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集成式骨密度报告模块</w:t>
            </w:r>
            <w:r/>
          </w:p>
        </w:tc>
      </w:tr>
    </w:tbl>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5、医用会诊系统1套、≥86寸8兆大屏1台、4兆医用显示器4台</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s="宋体"/>
          <w:color w:val="auto"/>
          <w:sz w:val="24"/>
          <w:szCs w:val="24"/>
          <w:highlight w:val="none"/>
        </w:rPr>
        <w:t xml:space="preserve">五、售后服务要求：</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1、本项目设备免费质保期要求：</w:t>
      </w:r>
      <w:r/>
    </w:p>
    <w:p>
      <w:pPr>
        <w:ind w:firstLine="480"/>
        <w:spacing w:line="400" w:lineRule="exact"/>
        <w:rPr>
          <w:rFonts w:ascii="宋体" w:hAnsi="宋体"/>
          <w:color w:val="auto"/>
          <w:sz w:val="24"/>
          <w:szCs w:val="24"/>
          <w:highlight w:val="none"/>
        </w:rPr>
      </w:pPr>
      <w:r/>
      <w:bookmarkStart w:id="55" w:name="OLE_LINK62"/>
      <w:r/>
      <w:bookmarkStart w:id="56" w:name="OLE_LINK141"/>
      <w:r/>
      <w:bookmarkStart w:id="57" w:name="OLE_LINK140"/>
      <w:r>
        <w:rPr>
          <w:rFonts w:hint="eastAsia" w:ascii="宋体" w:hAnsi="宋体"/>
          <w:color w:val="auto"/>
          <w:sz w:val="24"/>
          <w:szCs w:val="24"/>
          <w:highlight w:val="none"/>
        </w:rPr>
        <w:t xml:space="preserve">正电子发射及X射线计算机断层成像系统（PET/CT)免费</w:t>
      </w:r>
      <w:r>
        <w:rPr>
          <w:rFonts w:hint="eastAsia" w:ascii="宋体" w:hAnsi="宋体" w:cs="宋体"/>
          <w:color w:val="auto"/>
          <w:sz w:val="24"/>
          <w:szCs w:val="24"/>
          <w:highlight w:val="none"/>
        </w:rPr>
        <w:t xml:space="preserve">原厂质保≥3</w:t>
      </w:r>
      <w:r>
        <w:rPr>
          <w:rFonts w:hint="eastAsia" w:ascii="宋体" w:hAnsi="宋体" w:cs="宋体"/>
          <w:color w:val="auto"/>
          <w:sz w:val="24"/>
          <w:szCs w:val="24"/>
          <w:highlight w:val="none"/>
          <w:lang w:val="zh-TW" w:eastAsia="zh-TW"/>
        </w:rPr>
        <w:t xml:space="preserve">年</w:t>
      </w:r>
      <w:r>
        <w:rPr>
          <w:rFonts w:ascii="宋体" w:hAnsi="宋体"/>
          <w:color w:val="auto"/>
          <w:sz w:val="24"/>
          <w:szCs w:val="24"/>
          <w:highlight w:val="none"/>
        </w:rPr>
        <w:t xml:space="preserve">。</w:t>
      </w:r>
      <w:bookmarkEnd w:id="55"/>
      <w:r/>
      <w:bookmarkEnd w:id="56"/>
      <w:bookmarkEnd w:id="57"/>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投标人应</w:t>
      </w:r>
      <w:r>
        <w:rPr>
          <w:rFonts w:hint="eastAsia" w:ascii="宋体" w:hAnsi="宋体"/>
          <w:color w:val="auto"/>
          <w:sz w:val="24"/>
          <w:szCs w:val="24"/>
          <w:highlight w:val="none"/>
        </w:rPr>
        <w:t xml:space="preserve">针对所投设备</w:t>
      </w:r>
      <w:r>
        <w:rPr>
          <w:rFonts w:ascii="宋体" w:hAnsi="宋体"/>
          <w:color w:val="auto"/>
          <w:sz w:val="24"/>
          <w:szCs w:val="24"/>
          <w:highlight w:val="none"/>
        </w:rPr>
        <w:t xml:space="preserve">提供不低于上述要求的免费</w:t>
      </w:r>
      <w:r>
        <w:rPr>
          <w:rFonts w:hint="eastAsia" w:ascii="宋体" w:hAnsi="宋体"/>
          <w:color w:val="auto"/>
          <w:sz w:val="24"/>
          <w:szCs w:val="24"/>
          <w:highlight w:val="none"/>
        </w:rPr>
        <w:t xml:space="preserve">原厂</w:t>
      </w:r>
      <w:r>
        <w:rPr>
          <w:rFonts w:ascii="宋体" w:hAnsi="宋体"/>
          <w:color w:val="auto"/>
          <w:sz w:val="24"/>
          <w:szCs w:val="24"/>
          <w:highlight w:val="none"/>
        </w:rPr>
        <w:t xml:space="preserve">质保期。自验收合格之日起，开始进入质保期。质保期内，根据采购人需要提供免费保养服务，质保期内每年提供一次免费保养，质保期自设备经验收合格之日起计算。</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2、投标人在投标文件中须提供主要零配件价格，包括日常维保期间相关维保内容、维保时间进程、维保档案等。</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免费质保期结束后，在设备使用寿命周期内中标人仍然要提供及时、优质、快速的设备维修服务，要保证采购人能更换到原厂正宗的零部件，确保设备正常使用。免费保修期外维修只收取零配件成本价，不收取人工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如</w:t>
      </w:r>
      <w:r>
        <w:rPr>
          <w:rFonts w:ascii="宋体" w:hAnsi="宋体"/>
          <w:color w:val="auto"/>
          <w:sz w:val="24"/>
          <w:szCs w:val="24"/>
          <w:highlight w:val="none"/>
        </w:rPr>
        <w:t xml:space="preserve">设备</w:t>
      </w:r>
      <w:r>
        <w:rPr>
          <w:rFonts w:hint="eastAsia" w:ascii="宋体" w:hAnsi="宋体"/>
          <w:color w:val="auto"/>
          <w:sz w:val="24"/>
          <w:szCs w:val="24"/>
          <w:highlight w:val="none"/>
        </w:rPr>
        <w:t xml:space="preserve">涉及软件的，投标人应提供</w:t>
      </w:r>
      <w:r>
        <w:rPr>
          <w:rFonts w:ascii="宋体" w:hAnsi="宋体"/>
          <w:color w:val="auto"/>
          <w:sz w:val="24"/>
          <w:szCs w:val="24"/>
          <w:highlight w:val="none"/>
        </w:rPr>
        <w:t xml:space="preserve">终生免费升级的服务。免费开放信息采集接口，配合做好信息系统接入。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、投标人负责设备的运输、装卸、安装、调试（如有要求</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、设备安装后，采购人按国家标准及厂方标准进行质量验收。当双方对验收标准有争议时，可委托双方一致认可的国家相关权威检测中心进行检测，费用由责任人承担。</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w:t>
      </w:r>
      <w:r>
        <w:rPr>
          <w:rFonts w:hint="eastAsia" w:ascii="宋体" w:hAnsi="宋体"/>
          <w:color w:val="auto"/>
          <w:sz w:val="24"/>
          <w:szCs w:val="24"/>
          <w:highlight w:val="none"/>
        </w:rPr>
        <w:t xml:space="preserve">投标人应针对所投的项目提供专门的服务团队负责设备的售后、维修等服务，服务团队应具有丰富的经验，可及时应对采购人在该设备使用过程中出现的相关问题或突发状况。</w:t>
      </w:r>
      <w:r>
        <w:rPr>
          <w:rFonts w:ascii="宋体" w:hAnsi="宋体"/>
          <w:color w:val="auto"/>
          <w:sz w:val="24"/>
          <w:szCs w:val="24"/>
          <w:highlight w:val="none"/>
        </w:rPr>
        <w:t xml:space="preserve">在设备质保期内，一旦发生质量问题，中标人在接到报修后2小时响应，12小时内到达现场，24小时内排除故障；提供详细周密的紧急维保预案。同时提供设备维修期间免费提供备品备件及详细维保方案。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、提供系统完整专业的培训计划，可免费提供采购人的临床医生或医技人员到有关学习单位（三级医疗单位或以上）进行学习（要求提供培训计划）。</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六、报价要求：</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1、本次采购</w:t>
      </w:r>
      <w:r>
        <w:rPr>
          <w:rFonts w:hint="eastAsia" w:ascii="宋体" w:hAnsi="宋体"/>
          <w:color w:val="auto"/>
          <w:sz w:val="24"/>
          <w:szCs w:val="24"/>
          <w:highlight w:val="none"/>
        </w:rPr>
        <w:t xml:space="preserve">共一个分包</w:t>
      </w:r>
      <w:r>
        <w:rPr>
          <w:rFonts w:ascii="宋体" w:hAnsi="宋体"/>
          <w:color w:val="auto"/>
          <w:sz w:val="24"/>
          <w:szCs w:val="24"/>
          <w:highlight w:val="none"/>
        </w:rPr>
        <w:t xml:space="preserve">，投标人须对该</w:t>
      </w:r>
      <w:r>
        <w:rPr>
          <w:rFonts w:hint="eastAsia" w:ascii="宋体" w:hAnsi="宋体"/>
          <w:color w:val="auto"/>
          <w:sz w:val="24"/>
          <w:szCs w:val="24"/>
          <w:highlight w:val="none"/>
        </w:rPr>
        <w:t xml:space="preserve">分包内的采购</w:t>
      </w:r>
      <w:r>
        <w:rPr>
          <w:rFonts w:ascii="宋体" w:hAnsi="宋体"/>
          <w:color w:val="auto"/>
          <w:sz w:val="24"/>
          <w:szCs w:val="24"/>
          <w:highlight w:val="none"/>
        </w:rPr>
        <w:t xml:space="preserve">内容全部响应，只投报其中部分内容或出现选择性投报的作无效投标处理。投标总价包括全部设备、辅助材料、安装、调试、人工、机械、运输、保险、运费、各种税费、劳保、售后服务、专利技术及免费质保期间的一切费用。</w:t>
      </w:r>
      <w:r/>
    </w:p>
    <w:p>
      <w:pPr>
        <w:ind w:firstLine="480"/>
        <w:spacing w:line="400" w:lineRule="exact"/>
        <w:rPr>
          <w:rFonts w:ascii="宋体" w:hAnsi="宋体" w:cs="宋体"/>
          <w:color w:val="auto"/>
          <w:sz w:val="24"/>
          <w:szCs w:val="24"/>
          <w:highlight w:val="none"/>
        </w:rPr>
      </w:pPr>
      <w:r>
        <w:rPr>
          <w:rFonts w:ascii="宋体" w:hAnsi="宋体"/>
          <w:color w:val="auto"/>
          <w:sz w:val="24"/>
          <w:szCs w:val="24"/>
          <w:highlight w:val="none"/>
        </w:rPr>
        <w:t xml:space="preserve">2、采购预算：</w:t>
      </w:r>
      <w:r>
        <w:rPr>
          <w:rFonts w:hint="eastAsia" w:ascii="宋体" w:hAnsi="宋体" w:cs="宋体"/>
          <w:color w:val="auto"/>
          <w:sz w:val="24"/>
          <w:szCs w:val="24"/>
          <w:highlight w:val="none"/>
        </w:rPr>
        <w:t xml:space="preserve">人民币25000000.00元整。最高限价</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人民币21000000.00元整。</w:t>
      </w:r>
      <w:r/>
    </w:p>
    <w:p>
      <w:pPr>
        <w:ind w:firstLine="482"/>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投标总价不得超过采购预算或最高限价，否则其将作无效投标处理。</w:t>
      </w:r>
      <w:r/>
    </w:p>
    <w:p>
      <w:pPr>
        <w:ind w:firstLine="516"/>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516"/>
        <w:spacing w:line="400" w:lineRule="exact"/>
        <w:rPr>
          <w:rFonts w:ascii="宋体" w:hAnsi="宋体"/>
          <w:color w:val="auto"/>
          <w:sz w:val="24"/>
          <w:szCs w:val="24"/>
          <w:highlight w:val="none"/>
        </w:rPr>
      </w:pPr>
      <w:r>
        <w:rPr>
          <w:rFonts w:ascii="宋体" w:hAnsi="宋体"/>
          <w:color w:val="auto"/>
          <w:sz w:val="24"/>
          <w:szCs w:val="24"/>
          <w:highlight w:val="none"/>
        </w:rPr>
        <w:t xml:space="preserve">七、综合说明：</w:t>
      </w:r>
      <w:r/>
    </w:p>
    <w:p>
      <w:pPr>
        <w:ind w:firstLine="516"/>
        <w:spacing w:line="400" w:lineRule="exact"/>
        <w:rPr>
          <w:rFonts w:ascii="宋体" w:hAnsi="宋体"/>
          <w:color w:val="auto"/>
          <w:sz w:val="24"/>
          <w:szCs w:val="24"/>
          <w:highlight w:val="none"/>
        </w:rPr>
      </w:pPr>
      <w:r/>
      <w:bookmarkStart w:id="58" w:name="_Toc511680876"/>
      <w:r/>
      <w:bookmarkStart w:id="59" w:name="_Toc158691775"/>
      <w:r/>
      <w:bookmarkStart w:id="60" w:name="_Toc315875322"/>
      <w:r/>
      <w:bookmarkStart w:id="61" w:name="_Toc315868059"/>
      <w:r>
        <w:rPr>
          <w:rFonts w:hint="eastAsia" w:ascii="宋体" w:hAnsi="宋体"/>
          <w:color w:val="auto"/>
          <w:sz w:val="24"/>
          <w:szCs w:val="24"/>
          <w:highlight w:val="none"/>
        </w:rPr>
        <w:t xml:space="preserve">1、技术指标符号说明：</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招标文件“技术性能及参数要求”中</w:t>
      </w:r>
      <w:bookmarkStart w:id="62" w:name="OLE_LINK122"/>
      <w:r/>
      <w:bookmarkStart w:id="63" w:name="OLE_LINK123"/>
      <w:r>
        <w:rPr>
          <w:rFonts w:hint="eastAsia" w:ascii="宋体" w:hAnsi="宋体"/>
          <w:color w:val="auto"/>
          <w:sz w:val="24"/>
          <w:szCs w:val="24"/>
          <w:highlight w:val="none"/>
        </w:rPr>
        <w:t xml:space="preserve">“★”技术指标为</w:t>
      </w:r>
      <w:bookmarkEnd w:id="62"/>
      <w:r/>
      <w:bookmarkEnd w:id="63"/>
      <w:r>
        <w:rPr>
          <w:rFonts w:hint="eastAsia" w:ascii="宋体" w:hAnsi="宋体"/>
          <w:color w:val="auto"/>
          <w:sz w:val="24"/>
          <w:szCs w:val="24"/>
          <w:highlight w:val="none"/>
        </w:rPr>
        <w:t xml:space="preserve">实质性条款，如有不符或未提供佐证材料的评标委员会视为无效投标；“</w:t>
      </w:r>
      <w:bookmarkStart w:id="64" w:name="OLE_LINK127"/>
      <w:r/>
      <w:bookmarkStart w:id="65" w:name="OLE_LINK126"/>
      <w:r>
        <w:rPr>
          <w:rFonts w:hint="eastAsia" w:ascii="宋体" w:hAnsi="宋体"/>
          <w:color w:val="auto"/>
          <w:sz w:val="24"/>
          <w:szCs w:val="24"/>
          <w:highlight w:val="none"/>
        </w:rPr>
        <w:t xml:space="preserve">▲</w:t>
      </w:r>
      <w:bookmarkEnd w:id="64"/>
      <w:r/>
      <w:bookmarkEnd w:id="65"/>
      <w:r>
        <w:rPr>
          <w:rFonts w:hint="eastAsia" w:ascii="宋体" w:hAnsi="宋体"/>
          <w:color w:val="auto"/>
          <w:sz w:val="24"/>
          <w:szCs w:val="24"/>
          <w:highlight w:val="none"/>
        </w:rPr>
        <w:t xml:space="preserve">”技术指标为重要技术参数，如有不符或未提供佐证材料的评标委员会可视为未对此技术参数进行响应。</w:t>
      </w:r>
      <w:r/>
    </w:p>
    <w:p>
      <w:pPr>
        <w:ind w:firstLine="516"/>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w:t>
      </w:r>
      <w:r/>
    </w:p>
    <w:p>
      <w:pPr>
        <w:ind w:firstLine="516"/>
        <w:spacing w:line="400" w:lineRule="exact"/>
        <w:rPr>
          <w:color w:val="auto"/>
          <w:highlight w:val="none"/>
        </w:rPr>
      </w:pPr>
      <w:r>
        <w:rPr>
          <w:rFonts w:hint="eastAsia" w:ascii="宋体" w:hAnsi="宋体"/>
          <w:color w:val="auto"/>
          <w:sz w:val="24"/>
          <w:szCs w:val="24"/>
          <w:highlight w:val="none"/>
        </w:rPr>
        <w:t xml:space="preserve">2、采购需求中所列的技术指标和性能要求均为基本参考要求，凡是等于或优于所列要求的货物均可参加投标。</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投标人须明确所投设备生产厂家、品牌、型号、规格和外形、尺寸等；提供货物的配置清单，并提供详细的技术参数和性能说明书。说明书、彩页样本需能真实体现设备的技术指标及性能，投标文件中描述的产品技术参数如与说明书、彩页样本有矛盾之处，以说明书、彩页样本为准。</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4、投标人必须承诺采购文件中提出的全部技术规格与要求，如果以其中某些条款不响应时，应在文件中逐条列出，未列出的视同响应。</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5、投标人所投设备应在市场上有一定占有率，提供合同复印件等证明文件。</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6、投标人须提供质量保证，在质量保证期内该设备或产品出现质量问题（人为除外），须无条件更换。同时对设备有可能出现的重大故障规划出合理应对措施及预案。</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7、交货时间：合同签订生效后，在收到采购人通知90天内交货送至指定地点并安装调试完成。</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8、交货地点：根据采购人要求送达指定地点（</w:t>
      </w:r>
      <w:r>
        <w:rPr>
          <w:rFonts w:hint="eastAsia" w:ascii="宋体" w:hAnsi="宋体" w:cs="宋体"/>
          <w:color w:val="auto"/>
          <w:sz w:val="24"/>
          <w:szCs w:val="24"/>
          <w:highlight w:val="none"/>
        </w:rPr>
        <w:t xml:space="preserve">常熟市海虞南路68号</w:t>
      </w:r>
      <w:r>
        <w:rPr>
          <w:rFonts w:hint="eastAsia" w:ascii="宋体" w:hAnsi="宋体"/>
          <w:color w:val="auto"/>
          <w:sz w:val="24"/>
          <w:szCs w:val="24"/>
          <w:highlight w:val="none"/>
        </w:rPr>
        <w:t xml:space="preserve">）。</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9、付款方式：</w:t>
      </w:r>
      <w:r/>
    </w:p>
    <w:p>
      <w:pPr>
        <w:ind w:firstLine="516"/>
        <w:spacing w:line="40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.1 预付款：合同签订后的30日内，采购人向中标人支付合同总价的30%作为预付款。</w:t>
      </w:r>
      <w:r/>
    </w:p>
    <w:p>
      <w:pPr>
        <w:ind w:firstLine="516"/>
        <w:spacing w:line="40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.2 余款支付：所有货物运至指定地点并经验收通过且收到发票后30日内采购人向中标人付清全部货款。</w:t>
      </w:r>
      <w:r/>
    </w:p>
    <w:p>
      <w:pPr>
        <w:ind w:firstLine="516"/>
        <w:spacing w:line="40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.3 本项目所有款项允许通过数字人民币支付。</w:t>
      </w:r>
      <w:r/>
    </w:p>
    <w:p>
      <w:pPr>
        <w:ind w:firstLine="516"/>
        <w:spacing w:line="40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.4 如中标人无需预付款或主动要求降低预付款比例的，与采购人自行协商。</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10、验收标准：设备安装后，需方按国家标准及厂方标准进行质量验收。中标人应向采购人提供详细的验收标准、验收手册。中标人在验收时需提供所投设备生产厂家盖章的在投标文件响应的全部技术参数的证明文件，并按国家制造和安装的标准要求检测验收，如无法提供，采购人有权拒绝验收，并向中标人索取因投标方造成废标、延误装机等相关经济损失。当双方对验收标准有争议时，可委托双方一致认可的国家相关权威检测中心进行检测，费用由中标人承担，只有在设备完全正常运转和买方确认后，设备的安装工作才能认为已全部完成。</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11、凡涉及招标文件的补充说明和修改，均以中国政府采购网、</w:t>
      </w:r>
      <w:r>
        <w:rPr>
          <w:rFonts w:hint="eastAsia" w:ascii="宋体" w:hAnsi="宋体" w:cs="宋体"/>
          <w:color w:val="auto"/>
          <w:sz w:val="24"/>
          <w:szCs w:val="24"/>
          <w:highlight w:val="none"/>
        </w:rPr>
        <w:t xml:space="preserve">江苏政府采购网、苏州市政府采购网</w:t>
      </w:r>
      <w:r>
        <w:rPr>
          <w:rFonts w:hint="eastAsia" w:ascii="宋体" w:hAnsi="宋体"/>
          <w:color w:val="auto"/>
          <w:sz w:val="24"/>
          <w:szCs w:val="24"/>
          <w:highlight w:val="none"/>
        </w:rPr>
        <w:t xml:space="preserve">上发布的通知为准。</w:t>
      </w:r>
      <w:r/>
    </w:p>
    <w:p>
      <w:pPr>
        <w:ind w:firstLine="516"/>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、政策执行</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（1）根据《政府采购促进中小企业发展管理办法》（财库〔2020〕46号）、《关于做好政府采购支持企业发展有关事项的通知》（苏财购〔2020〕52号）及《关于印</w:t>
      </w:r>
      <w:r>
        <w:rPr>
          <w:rFonts w:hint="eastAsia" w:ascii="宋体" w:hAnsi="宋体"/>
          <w:color w:val="auto"/>
          <w:sz w:val="24"/>
          <w:szCs w:val="24"/>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根据《政府采购促进中小企业发展管理办法》（财库〔2020〕46号）及《中小企业划型标准规定》（工信部联企业〔2011〕300号），本采购项目对应的中小企业划分标准所属行业为：工业。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（3）残疾人福利性单位（若为专门面向中小企业采购的项目或者采购包，不再执行价格评审优惠的扶持政策）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（4）监狱企业（若为专门面向中小企业采购的项目或者采购包，不再执行价格评审优惠的扶持政策）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（5）绿色采购</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、政府采购中实施本国产品标准及相关政策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本项目对采购本国产品给予政策支持，具体内容见招标文件“第</w:t>
      </w:r>
      <w:r>
        <w:rPr>
          <w:rFonts w:hint="eastAsia" w:ascii="宋体" w:hAnsi="宋体"/>
          <w:color w:val="auto"/>
          <w:sz w:val="24"/>
          <w:szCs w:val="24"/>
          <w:highlight w:val="none"/>
          <w:lang w:val="en-US" w:eastAsia="zh-CN"/>
        </w:rPr>
        <w:t xml:space="preserve">七</w:t>
      </w:r>
      <w:r>
        <w:rPr>
          <w:rFonts w:hint="eastAsia" w:ascii="宋体" w:hAnsi="宋体"/>
          <w:color w:val="auto"/>
          <w:sz w:val="24"/>
          <w:szCs w:val="24"/>
          <w:highlight w:val="none"/>
        </w:rPr>
        <w:t xml:space="preserve">章 评标方法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评</w:t>
      </w:r>
      <w:r>
        <w:rPr>
          <w:rFonts w:hint="eastAsia" w:ascii="宋体" w:hAnsi="宋体"/>
          <w:color w:val="auto"/>
          <w:sz w:val="24"/>
          <w:szCs w:val="24"/>
          <w:highlight w:val="none"/>
          <w:lang w:val="en-US" w:eastAsia="zh-CN"/>
        </w:rPr>
        <w:t xml:space="preserve">分</w:t>
      </w:r>
      <w:r>
        <w:rPr>
          <w:rFonts w:hint="eastAsia" w:ascii="宋体" w:hAnsi="宋体"/>
          <w:color w:val="auto"/>
          <w:sz w:val="24"/>
          <w:szCs w:val="24"/>
          <w:highlight w:val="none"/>
        </w:rPr>
        <w:t xml:space="preserve">标准”。</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3"/>
        <w:rPr>
          <w:b w:val="0"/>
          <w:color w:val="auto"/>
          <w:highlight w:val="none"/>
        </w:rPr>
      </w:pPr>
      <w:r>
        <w:rPr>
          <w:b w:val="0"/>
          <w:color w:val="auto"/>
          <w:highlight w:val="none"/>
        </w:rPr>
        <w:br w:type="page" w:clear="all"/>
      </w:r>
      <w:bookmarkStart w:id="66" w:name="_Toc187920255"/>
      <w:r>
        <w:rPr>
          <w:b w:val="0"/>
          <w:color w:val="auto"/>
          <w:highlight w:val="none"/>
        </w:rPr>
        <w:t xml:space="preserve">第五章  评审因素和评分标准</w:t>
      </w:r>
      <w:bookmarkEnd w:id="58"/>
      <w:r/>
      <w:bookmarkEnd w:id="59"/>
      <w:r/>
      <w:bookmarkEnd w:id="60"/>
      <w:r/>
      <w:bookmarkEnd w:id="61"/>
      <w:r/>
      <w:bookmarkEnd w:id="66"/>
      <w:r/>
      <w:r/>
    </w:p>
    <w:p>
      <w:pPr>
        <w:spacing w:line="460" w:lineRule="exact"/>
        <w:rPr>
          <w:rFonts w:ascii="宋体" w:hAnsi="宋体"/>
          <w:bCs/>
          <w:color w:val="auto"/>
          <w:sz w:val="28"/>
          <w:highlight w:val="none"/>
        </w:rPr>
      </w:pPr>
      <w:r>
        <w:rPr>
          <w:rFonts w:ascii="宋体" w:hAnsi="宋体"/>
          <w:bCs/>
          <w:color w:val="auto"/>
          <w:sz w:val="28"/>
          <w:highlight w:val="none"/>
        </w:rPr>
      </w:r>
      <w:r/>
    </w:p>
    <w:p>
      <w:pPr>
        <w:spacing w:line="360" w:lineRule="exact"/>
        <w:rPr>
          <w:rFonts w:ascii="宋体" w:hAnsi="宋体"/>
          <w:bCs/>
          <w:color w:val="auto"/>
          <w:sz w:val="28"/>
          <w:highlight w:val="none"/>
        </w:rPr>
      </w:pPr>
      <w:r>
        <w:rPr>
          <w:rFonts w:hint="eastAsia" w:ascii="宋体" w:hAnsi="宋体"/>
          <w:bCs/>
          <w:color w:val="auto"/>
          <w:sz w:val="28"/>
          <w:highlight w:val="none"/>
        </w:rPr>
        <w:t xml:space="preserve">一、评标方法</w:t>
      </w:r>
      <w:r/>
    </w:p>
    <w:p>
      <w:pPr>
        <w:ind w:firstLine="480"/>
        <w:spacing w:line="360" w:lineRule="exact"/>
        <w:rPr>
          <w:rFonts w:ascii="宋体" w:hAnsi="宋体"/>
          <w:color w:val="auto"/>
          <w:sz w:val="24"/>
          <w:szCs w:val="24"/>
          <w:highlight w:val="none"/>
        </w:rPr>
      </w:pPr>
      <w:r>
        <w:rPr>
          <w:rFonts w:ascii="宋体" w:hAnsi="宋体"/>
          <w:color w:val="auto"/>
          <w:sz w:val="24"/>
          <w:highlight w:val="none"/>
        </w:rPr>
        <w:t xml:space="preserve">1、本项目的评标采用综合评分法。</w:t>
      </w:r>
      <w:r>
        <w:rPr>
          <w:rFonts w:ascii="宋体" w:hAnsi="宋体"/>
          <w:color w:val="auto"/>
          <w:sz w:val="24"/>
          <w:szCs w:val="24"/>
          <w:highlight w:val="none"/>
        </w:rPr>
        <w:t xml:space="preserve">即在满足招标文件实质性要求前提下，按照招标文件中规定的各项因素进行综合评审。评审因素及各比重如下：价格分值占总分值的比重为</w:t>
      </w:r>
      <w:r>
        <w:rPr>
          <w:rFonts w:hint="eastAsia" w:ascii="宋体" w:hAnsi="宋体"/>
          <w:color w:val="auto"/>
          <w:sz w:val="24"/>
          <w:szCs w:val="24"/>
          <w:highlight w:val="none"/>
        </w:rPr>
        <w:t xml:space="preserve">4</w:t>
      </w:r>
      <w:r>
        <w:rPr>
          <w:rFonts w:ascii="宋体" w:hAnsi="宋体"/>
          <w:color w:val="auto"/>
          <w:sz w:val="24"/>
          <w:szCs w:val="24"/>
          <w:highlight w:val="none"/>
        </w:rPr>
        <w:t xml:space="preserve">0%（权重），技术与质量及其它占</w:t>
      </w:r>
      <w:r>
        <w:rPr>
          <w:rFonts w:hint="eastAsia" w:ascii="宋体" w:hAnsi="宋体"/>
          <w:color w:val="auto"/>
          <w:sz w:val="24"/>
          <w:szCs w:val="24"/>
          <w:highlight w:val="none"/>
        </w:rPr>
        <w:t xml:space="preserve">6</w:t>
      </w:r>
      <w:r>
        <w:rPr>
          <w:rFonts w:ascii="宋体" w:hAnsi="宋体"/>
          <w:color w:val="auto"/>
          <w:sz w:val="24"/>
          <w:szCs w:val="24"/>
          <w:highlight w:val="none"/>
        </w:rPr>
        <w:t xml:space="preserve">0%（权重）。（保留小数点后2位）</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0"/>
        <w:spacing w:line="3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、评审过程中出现下列情形之一的，评审委员会应当启动异常低价投标审查程序：</w:t>
      </w:r>
      <w:r/>
    </w:p>
    <w:p>
      <w:pPr>
        <w:ind w:firstLine="480"/>
        <w:spacing w:line="3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.3投标（响应）报价低于采购项目最高限价45%的，即投标（响应）报价&lt;采购项目最高限价×45%；</w:t>
      </w:r>
      <w:r/>
    </w:p>
    <w:p>
      <w:pPr>
        <w:ind w:firstLine="480"/>
        <w:spacing w:line="3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.4评审委员会基于专业判断，认为供应商报价过低，有可能影响产品质量或者不能诚信履约的其他情形。</w:t>
      </w:r>
      <w:r/>
    </w:p>
    <w:p>
      <w:pPr>
        <w:ind w:firstLine="480"/>
        <w:spacing w:line="3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、采购单位已书面授权评标委员会直接确定中标供应商</w:t>
      </w:r>
      <w:r>
        <w:rPr>
          <w:rFonts w:hint="eastAsia" w:ascii="宋体" w:hAnsi="宋体" w:eastAsia="宋体" w:cs="Times New Roman"/>
          <w:color w:val="auto"/>
          <w:sz w:val="24"/>
          <w:szCs w:val="24"/>
          <w:highlight w:val="none"/>
          <w:lang w:eastAsia="zh-CN"/>
        </w:rPr>
        <w:t xml:space="preserve">。</w:t>
      </w:r>
      <w:r/>
    </w:p>
    <w:p>
      <w:pPr>
        <w:pStyle w:val="672"/>
        <w:rPr>
          <w:rFonts w:hint="default" w:eastAsia="楷体_GB2312"/>
          <w:color w:val="auto"/>
          <w:highlight w:val="none"/>
          <w:lang w:val="en-US" w:eastAsia="zh-CN"/>
        </w:rPr>
      </w:pPr>
      <w:r>
        <w:rPr>
          <w:rFonts w:hint="default" w:eastAsia="楷体_GB2312"/>
          <w:color w:val="auto"/>
          <w:highlight w:val="none"/>
          <w:lang w:val="en-US" w:eastAsia="zh-CN"/>
        </w:rPr>
      </w:r>
      <w:r/>
    </w:p>
    <w:p>
      <w:pPr>
        <w:spacing w:line="400" w:lineRule="exact"/>
        <w:rPr>
          <w:rFonts w:ascii="宋体" w:hAnsi="宋体"/>
          <w:bCs/>
          <w:color w:val="auto"/>
          <w:sz w:val="28"/>
          <w:highlight w:val="none"/>
        </w:rPr>
      </w:pPr>
      <w:r>
        <w:rPr>
          <w:rFonts w:ascii="宋体" w:hAnsi="宋体"/>
          <w:bCs/>
          <w:color w:val="auto"/>
          <w:sz w:val="28"/>
          <w:highlight w:val="none"/>
        </w:rPr>
        <w:t xml:space="preserve">二、评审因素、分值及评分标准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注：每部分的得分保留小数点后两位，合计得分保留小数点后两位。</w:t>
      </w:r>
      <w:r/>
    </w:p>
    <w:p>
      <w:pPr>
        <w:ind w:firstLine="482"/>
        <w:spacing w:line="400" w:lineRule="exact"/>
        <w:rPr>
          <w:rFonts w:ascii="宋体" w:hAnsi="宋体"/>
          <w:bCs/>
          <w:color w:val="auto"/>
          <w:sz w:val="24"/>
          <w:highlight w:val="none"/>
        </w:rPr>
      </w:pPr>
      <w:r/>
      <w:bookmarkStart w:id="67" w:name="OLE_LINK139"/>
      <w:r>
        <w:rPr>
          <w:rFonts w:ascii="宋体" w:hAnsi="宋体"/>
          <w:bCs/>
          <w:color w:val="auto"/>
          <w:sz w:val="24"/>
          <w:highlight w:val="none"/>
        </w:rPr>
        <w:t xml:space="preserve">1、投标报价</w:t>
      </w:r>
      <w:r>
        <w:rPr>
          <w:rFonts w:hint="eastAsia" w:ascii="宋体" w:hAnsi="宋体"/>
          <w:bCs/>
          <w:color w:val="auto"/>
          <w:sz w:val="24"/>
          <w:highlight w:val="none"/>
        </w:rPr>
        <w:t xml:space="preserve">4</w:t>
      </w:r>
      <w:r>
        <w:rPr>
          <w:rFonts w:ascii="宋体" w:hAnsi="宋体"/>
          <w:bCs/>
          <w:color w:val="auto"/>
          <w:sz w:val="24"/>
          <w:highlight w:val="none"/>
        </w:rPr>
        <w:t xml:space="preserve">0分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满足招标文件要求且投标价格最低的投标报价为评标基准价，其价格分为</w:t>
      </w:r>
      <w:r>
        <w:rPr>
          <w:rFonts w:hint="eastAsia" w:ascii="宋体" w:hAnsi="宋体"/>
          <w:color w:val="auto"/>
          <w:sz w:val="24"/>
          <w:highlight w:val="none"/>
        </w:rPr>
        <w:t xml:space="preserve">4</w:t>
      </w:r>
      <w:r>
        <w:rPr>
          <w:rFonts w:ascii="宋体" w:hAnsi="宋体"/>
          <w:color w:val="auto"/>
          <w:sz w:val="24"/>
          <w:highlight w:val="none"/>
        </w:rPr>
        <w:t xml:space="preserve">0分；其他投标人的价格分按下列公式计算：投标报价得分＝（评标基准价／投标报价）×</w:t>
      </w:r>
      <w:r>
        <w:rPr>
          <w:rFonts w:hint="eastAsia" w:ascii="宋体" w:hAnsi="宋体"/>
          <w:color w:val="auto"/>
          <w:sz w:val="24"/>
          <w:highlight w:val="none"/>
        </w:rPr>
        <w:t xml:space="preserve">4</w:t>
      </w:r>
      <w:r>
        <w:rPr>
          <w:rFonts w:ascii="宋体" w:hAnsi="宋体"/>
          <w:color w:val="auto"/>
          <w:sz w:val="24"/>
          <w:highlight w:val="none"/>
        </w:rPr>
        <w:t xml:space="preserve">0分。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因落实政府采购政策进行价格调整的，以调整后的价格计算评标基准价和投标报价。</w:t>
      </w:r>
      <w:r/>
    </w:p>
    <w:p>
      <w:pPr>
        <w:ind w:firstLine="482"/>
        <w:spacing w:line="400" w:lineRule="exact"/>
        <w:rPr>
          <w:rFonts w:ascii="宋体" w:hAnsi="宋体"/>
          <w:bCs/>
          <w:color w:val="auto"/>
          <w:sz w:val="24"/>
          <w:highlight w:val="none"/>
        </w:rPr>
      </w:pPr>
      <w:r>
        <w:rPr>
          <w:rFonts w:ascii="宋体" w:hAnsi="宋体"/>
          <w:bCs/>
          <w:color w:val="auto"/>
          <w:sz w:val="24"/>
          <w:highlight w:val="none"/>
        </w:rPr>
        <w:t xml:space="preserve">2、评分标准</w:t>
      </w:r>
      <w:r>
        <w:rPr>
          <w:rFonts w:hint="eastAsia" w:ascii="宋体" w:hAnsi="宋体"/>
          <w:bCs/>
          <w:color w:val="auto"/>
          <w:sz w:val="24"/>
          <w:highlight w:val="none"/>
        </w:rPr>
        <w:t xml:space="preserve">6</w:t>
      </w:r>
      <w:r>
        <w:rPr>
          <w:rFonts w:ascii="宋体" w:hAnsi="宋体"/>
          <w:bCs/>
          <w:color w:val="auto"/>
          <w:sz w:val="24"/>
          <w:highlight w:val="none"/>
        </w:rPr>
        <w:t xml:space="preserve">0分</w:t>
      </w:r>
      <w:r/>
    </w:p>
    <w:tbl>
      <w:tblPr>
        <w:tblStyle w:val="663"/>
        <w:tblW w:w="9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20"/>
        <w:gridCol w:w="870"/>
        <w:gridCol w:w="6060"/>
      </w:tblGrid>
      <w:tr>
        <w:trPr>
          <w:jc w:val="center"/>
          <w:trHeight w:val="445"/>
        </w:trPr>
        <w:tc>
          <w:tcPr>
            <w:tcW w:w="71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5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W w:w="87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权值</w:t>
            </w:r>
            <w:r/>
          </w:p>
        </w:tc>
        <w:tc>
          <w:tcPr>
            <w:tcW w:w="60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jc w:val="center"/>
          <w:trHeight w:val="415"/>
        </w:trPr>
        <w:tc>
          <w:tcPr>
            <w:tcW w:w="7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520" w:type="dxa"/>
            <w:vAlign w:val="center"/>
            <w:textDirection w:val="lrTb"/>
            <w:noWrap w:val="false"/>
          </w:tcPr>
          <w:p>
            <w:pPr>
              <w:pStyle w:val="687"/>
              <w:spacing w:after="0" w:line="276" w:lineRule="auto"/>
              <w:rPr>
                <w:rFonts w:ascii="宋体" w:hAnsi="宋体" w:eastAsia="宋体"/>
                <w:color w:val="auto"/>
                <w:szCs w:val="24"/>
                <w:highlight w:val="none"/>
              </w:rPr>
            </w:pPr>
            <w:r>
              <w:rPr>
                <w:rFonts w:hint="eastAsia" w:ascii="宋体" w:hAnsi="宋体" w:eastAsia="宋体"/>
                <w:color w:val="auto"/>
                <w:szCs w:val="24"/>
                <w:highlight w:val="none"/>
              </w:rPr>
              <w:t xml:space="preserve">设备配置与质量</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40" w:lineRule="auto"/>
              <w:rPr>
                <w:rFonts w:ascii="宋体" w:hAnsi="宋体"/>
                <w:color w:val="auto"/>
                <w:sz w:val="24"/>
                <w:szCs w:val="24"/>
                <w:highlight w:val="none"/>
              </w:rPr>
            </w:pPr>
            <w:r>
              <w:rPr>
                <w:rFonts w:hint="default" w:ascii="宋体" w:hAnsi="宋体" w:eastAsia="宋体" w:cs="Times New Roman"/>
                <w:color w:val="auto"/>
                <w:sz w:val="24"/>
                <w:szCs w:val="24"/>
                <w:highlight w:val="none"/>
                <w:lang w:val="en-US" w:eastAsia="zh-CN"/>
              </w:rPr>
              <w:t xml:space="preserve">所投设备的技术参数、性能等应满足招标文件的要</w:t>
            </w:r>
            <w:r>
              <w:rPr>
                <w:rFonts w:hint="default" w:ascii="宋体" w:hAnsi="宋体" w:eastAsia="宋体" w:cs="Times New Roman"/>
                <w:color w:val="auto"/>
                <w:sz w:val="24"/>
                <w:szCs w:val="24"/>
                <w:highlight w:val="none"/>
                <w:lang w:val="en-US" w:eastAsia="zh-CN"/>
              </w:rPr>
              <w:t xml:space="preserve">求； 1）打“★”项技术参数属于实质性响应参数，负偏离视为无效投标。2）打“▲”技术指标的为重要技术参数，出现一个负偏离扣2分；【注：上述技术参数须在投标文件中提供以下任意一项证明材料：（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否则视为负偏离。】3）其他技术指标出现负偏离，每一个扣0.2分；投标文件中须提供详细的技术参数响应偏离表。</w:t>
            </w:r>
            <w:r/>
          </w:p>
        </w:tc>
      </w:tr>
      <w:tr>
        <w:trPr>
          <w:jc w:val="center"/>
          <w:trHeight w:val="558"/>
        </w:trPr>
        <w:tc>
          <w:tcPr>
            <w:tcW w:w="7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520" w:type="dxa"/>
            <w:vAlign w:val="center"/>
            <w:textDirection w:val="lrTb"/>
            <w:noWrap w:val="false"/>
          </w:tcPr>
          <w:p>
            <w:pPr>
              <w:pStyle w:val="687"/>
              <w:spacing w:after="0" w:line="276" w:lineRule="auto"/>
              <w:rPr>
                <w:rFonts w:ascii="宋体" w:hAnsi="宋体" w:eastAsia="宋体"/>
                <w:color w:val="auto"/>
                <w:szCs w:val="24"/>
                <w:highlight w:val="none"/>
              </w:rPr>
            </w:pPr>
            <w:r>
              <w:rPr>
                <w:rFonts w:hint="eastAsia" w:ascii="宋体" w:hAnsi="宋体" w:eastAsia="宋体"/>
                <w:color w:val="auto"/>
                <w:szCs w:val="24"/>
                <w:highlight w:val="none"/>
              </w:rPr>
              <w:t xml:space="preserve">免费质保期</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w:t>
            </w:r>
            <w:r/>
          </w:p>
        </w:tc>
        <w:tc>
          <w:tcPr>
            <w:tcW w:w="606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满足采购文件质保期要求；</w:t>
            </w:r>
            <w:r>
              <w:rPr>
                <w:rFonts w:hint="eastAsia" w:ascii="宋体" w:hAnsi="宋体"/>
                <w:color w:val="auto"/>
                <w:sz w:val="24"/>
                <w:szCs w:val="24"/>
                <w:highlight w:val="none"/>
              </w:rPr>
              <w:t xml:space="preserve">每增加一年原厂质保期得</w:t>
            </w:r>
            <w:r>
              <w:rPr>
                <w:rFonts w:hint="eastAsia" w:ascii="宋体" w:hAnsi="宋体"/>
                <w:color w:val="auto"/>
                <w:sz w:val="24"/>
                <w:szCs w:val="24"/>
                <w:highlight w:val="none"/>
                <w:lang w:val="en-US" w:eastAsia="zh-CN"/>
              </w:rPr>
              <w:t xml:space="preserve">0.5</w:t>
            </w:r>
            <w:r>
              <w:rPr>
                <w:rFonts w:ascii="宋体" w:hAnsi="宋体"/>
                <w:color w:val="auto"/>
                <w:sz w:val="24"/>
                <w:szCs w:val="24"/>
                <w:highlight w:val="none"/>
              </w:rPr>
              <w:t xml:space="preserve">分，最多得</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（投标文件中需提供原厂质保年限书面承诺函并加盖厂家及投标人公章，提供其他或未提供的不得分。）</w:t>
            </w:r>
            <w:r/>
          </w:p>
          <w:p>
            <w:pPr>
              <w:spacing w:line="276" w:lineRule="auto"/>
              <w:rPr>
                <w:rFonts w:ascii="宋体" w:hAnsi="宋体"/>
                <w:color w:val="auto"/>
                <w:sz w:val="24"/>
                <w:szCs w:val="24"/>
                <w:highlight w:val="none"/>
              </w:rPr>
            </w:pPr>
            <w:r>
              <w:rPr>
                <w:rFonts w:ascii="宋体" w:hAnsi="宋体"/>
                <w:color w:val="auto"/>
                <w:sz w:val="24"/>
                <w:szCs w:val="24"/>
                <w:highlight w:val="none"/>
              </w:rPr>
              <w:t xml:space="preserve">注：本质保期延长不足1年的不得分。</w:t>
            </w:r>
            <w:r/>
          </w:p>
        </w:tc>
      </w:tr>
      <w:tr>
        <w:trPr>
          <w:jc w:val="center"/>
          <w:trHeight w:val="2687"/>
        </w:trPr>
        <w:tc>
          <w:tcPr>
            <w:tcW w:w="7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维保收费及维保方案</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维保收费及维保方案应包括：①维保收费（包括零配件、备品、备件价格）清单及价格；②维保工作具体维保内容；③维保流程及维保规范标准等情况介绍进行评定。</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能体现上述评审要点为且维保价格优惠力度大、针对性强的，每有一项得1分；体现上述评审要点但内容无法完全贴合需求的得0.5分；未能体现评审要点（或无实质性内容的），对应项得0分。</w:t>
            </w:r>
            <w:r/>
          </w:p>
        </w:tc>
      </w:tr>
      <w:tr>
        <w:trPr>
          <w:jc w:val="center"/>
          <w:trHeight w:val="2510"/>
        </w:trPr>
        <w:tc>
          <w:tcPr>
            <w:tcW w:w="7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培训计划</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根据培训方案内容包括①培训内容及方法计划；②负责培训人员情况；③培训设备场地情况介绍进行评定。</w:t>
            </w:r>
            <w:r/>
          </w:p>
          <w:p>
            <w:pPr>
              <w:pStyle w:val="672"/>
              <w:rPr>
                <w:color w:val="auto"/>
                <w:highlight w:val="none"/>
              </w:rPr>
            </w:pPr>
            <w:r/>
            <w:bookmarkStart w:id="68" w:name="OLE_LINK16"/>
            <w:r/>
            <w:bookmarkStart w:id="69" w:name="OLE_LINK15"/>
            <w:r>
              <w:rPr>
                <w:rFonts w:hint="eastAsia" w:ascii="宋体" w:hAnsi="宋体" w:eastAsia="宋体"/>
                <w:color w:val="auto"/>
                <w:sz w:val="24"/>
                <w:szCs w:val="24"/>
                <w:highlight w:val="none"/>
              </w:rPr>
              <w:t xml:space="preserve">能体现上述评审要点为且实施方案详细完整、针对性强的，每有一项得1分；体现上述评审要点但内容无法完全贴合需求的得0.5分；未能体现评审要点（或无实质性内容的），对应项得0分。</w:t>
            </w:r>
            <w:bookmarkEnd w:id="68"/>
            <w:r/>
            <w:bookmarkEnd w:id="69"/>
            <w:r/>
            <w:r/>
          </w:p>
        </w:tc>
      </w:tr>
      <w:tr>
        <w:trPr>
          <w:jc w:val="center"/>
          <w:trHeight w:val="2401"/>
        </w:trPr>
        <w:tc>
          <w:tcPr>
            <w:tcW w:w="7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highlight w:val="none"/>
              </w:rPr>
              <w:t xml:space="preserve">故障应急预案</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投标人根据设备有可能出现的①重大故障规划出合理应对的措施；②有关经验措施实施预案进行评定。</w:t>
            </w:r>
            <w:r/>
          </w:p>
          <w:p>
            <w:pPr>
              <w:spacing w:line="276" w:lineRule="auto"/>
              <w:rPr>
                <w:rFonts w:ascii="宋体" w:hAnsi="宋体"/>
                <w:color w:val="auto"/>
                <w:sz w:val="24"/>
                <w:szCs w:val="24"/>
                <w:highlight w:val="none"/>
              </w:rPr>
            </w:pPr>
            <w:r/>
            <w:bookmarkStart w:id="70" w:name="OLE_LINK34"/>
            <w:r/>
            <w:bookmarkStart w:id="71" w:name="OLE_LINK14"/>
            <w:r/>
            <w:bookmarkStart w:id="72" w:name="OLE_LINK13"/>
            <w:r>
              <w:rPr>
                <w:rFonts w:hint="eastAsia" w:ascii="宋体" w:hAnsi="宋体"/>
                <w:color w:val="auto"/>
                <w:sz w:val="24"/>
                <w:szCs w:val="24"/>
                <w:highlight w:val="none"/>
              </w:rPr>
              <w:t xml:space="preserve">能体现上述评审要点为且实施方案</w:t>
            </w:r>
            <w:bookmarkEnd w:id="70"/>
            <w:r>
              <w:rPr>
                <w:rFonts w:hint="eastAsia" w:ascii="宋体" w:hAnsi="宋体"/>
                <w:color w:val="auto"/>
                <w:sz w:val="24"/>
                <w:szCs w:val="24"/>
                <w:highlight w:val="none"/>
              </w:rPr>
              <w:t xml:space="preserve">详细完整、理解透彻、针对性强的，每有一项得2分；体现上述评审要点但内容无法完全贴合需求的得1分；未能体现评审要点（或无实质性内容的），对应项得0分。</w:t>
            </w:r>
            <w:bookmarkEnd w:id="71"/>
            <w:r/>
            <w:bookmarkEnd w:id="72"/>
            <w:r/>
            <w:r/>
          </w:p>
        </w:tc>
      </w:tr>
      <w:tr>
        <w:trPr>
          <w:jc w:val="center"/>
          <w:trHeight w:val="1774"/>
        </w:trPr>
        <w:tc>
          <w:tcPr>
            <w:tcW w:w="7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业绩</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tc>
        <w:tc>
          <w:tcPr>
            <w:tcW w:w="6060" w:type="dxa"/>
            <w:vAlign w:val="center"/>
            <w:textDirection w:val="lrTb"/>
            <w:noWrap w:val="false"/>
          </w:tcPr>
          <w:p>
            <w:pPr>
              <w:ind w:firstLine="0"/>
              <w:spacing w:line="276"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eastAsia" w:ascii="宋体" w:hAnsi="宋体" w:eastAsia="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rPr>
              <w:t xml:space="preserve">所投产品</w:t>
            </w:r>
            <w:r>
              <w:rPr>
                <w:rFonts w:hint="eastAsia" w:ascii="宋体" w:hAnsi="宋体" w:eastAsia="宋体" w:cs="Times New Roman"/>
                <w:color w:val="auto"/>
                <w:sz w:val="24"/>
                <w:szCs w:val="24"/>
                <w:highlight w:val="none"/>
                <w:lang w:val="en-US" w:eastAsia="zh-CN"/>
              </w:rPr>
              <w:t xml:space="preserve">生产厂家</w:t>
            </w:r>
            <w:r>
              <w:rPr>
                <w:rFonts w:hint="eastAsia" w:ascii="宋体" w:hAnsi="宋体" w:eastAsia="宋体" w:cs="Times New Roman"/>
                <w:color w:val="auto"/>
                <w:sz w:val="24"/>
                <w:szCs w:val="24"/>
                <w:highlight w:val="none"/>
              </w:rPr>
              <w:t xml:space="preserve">2022年</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月1日至今正电子发射及X射线计算机断层成像系统（PET/CT)业绩（以合同签订日期为准），由评标委员会根据提供的合同业绩进行评定，每提供1个完整合同业绩的得</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分，本项最高得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bookmarkEnd w:id="67"/>
            <w:r/>
          </w:p>
        </w:tc>
      </w:tr>
    </w:tbl>
    <w:p>
      <w:pPr>
        <w:ind w:firstLine="482"/>
        <w:spacing w:line="460" w:lineRule="exact"/>
        <w:rPr>
          <w:rFonts w:ascii="宋体" w:hAnsi="宋体"/>
          <w:bCs/>
          <w:color w:val="auto"/>
          <w:sz w:val="24"/>
          <w:highlight w:val="none"/>
        </w:rPr>
      </w:pPr>
      <w:r>
        <w:rPr>
          <w:rFonts w:ascii="宋体" w:hAnsi="宋体"/>
          <w:bCs/>
          <w:color w:val="auto"/>
          <w:sz w:val="24"/>
          <w:highlight w:val="none"/>
        </w:rPr>
      </w:r>
      <w:r/>
    </w:p>
    <w:p>
      <w:pPr>
        <w:pStyle w:val="702"/>
        <w:jc w:val="both"/>
        <w:spacing w:before="0" w:beforeAutospacing="0" w:after="0" w:afterAutospacing="0" w:line="430" w:lineRule="exact"/>
        <w:rPr>
          <w:rFonts w:cs="Times New Roman"/>
          <w:color w:val="auto"/>
          <w:highlight w:val="none"/>
        </w:rPr>
      </w:pPr>
      <w:r>
        <w:rPr>
          <w:rFonts w:hint="eastAsia"/>
          <w:bCs/>
          <w:color w:val="auto"/>
          <w:sz w:val="28"/>
          <w:highlight w:val="none"/>
        </w:rPr>
        <w:t xml:space="preserve">三、政府采购政策的评审加分（下述政策不重复享受政策）：</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（一）针对小微型企业的评审</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2、中小企业划型标准详见“工信部联企业〔2011〕300号通知”。</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在本次货物采购项目中，货物由小微企业制造，即货物由小微企业生产且使用该小微企业商号或者注册商标的，可享受小微企业扶持政策。</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投标人提供的货物既有小微企业制造货物，也有大中型企业制造货物的，不享受中小企业扶持政策。投标人应当出具《中小企业声明函》（见格式），否则不得享受相关中小企业扶持政策。</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（二）关于政府采购促进残疾人就业政策的评审</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（三）关于政府采购支持监狱企业发展政策的评审</w:t>
      </w:r>
      <w:r/>
    </w:p>
    <w:p>
      <w:pPr>
        <w:pStyle w:val="702"/>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1、在政府采购活动中，监狱企业视同小型、微型企业，享受评审中价格扣除等政府采购促进中小企业发展的政府采购政策。向监狱企业采购的金额，计入面向中小企业采购的统计数据。</w:t>
      </w:r>
      <w:r/>
    </w:p>
    <w:p>
      <w:pPr>
        <w:pStyle w:val="702"/>
        <w:ind w:firstLine="480"/>
        <w:jc w:val="both"/>
        <w:spacing w:before="0" w:beforeAutospacing="0" w:after="0" w:afterAutospacing="0" w:line="430" w:lineRule="exact"/>
        <w:rPr>
          <w:rFonts w:hint="eastAsia" w:cs="Times New Roman"/>
          <w:color w:val="auto"/>
          <w:highlight w:val="none"/>
        </w:rPr>
      </w:pPr>
      <w:r>
        <w:rPr>
          <w:rFonts w:hint="eastAsia" w:ascii="宋体" w:hAnsi="宋体"/>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w:t>
      </w:r>
      <w:r>
        <w:rPr>
          <w:rFonts w:hint="eastAsia" w:cs="Times New Roman"/>
          <w:color w:val="auto"/>
          <w:highlight w:val="none"/>
        </w:rPr>
        <w:t xml:space="preserve">生产建设兵团）出具的属于监狱企业的证明文件。</w:t>
      </w:r>
      <w:r/>
    </w:p>
    <w:p>
      <w:pPr>
        <w:pStyle w:val="70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（四）</w:t>
      </w:r>
      <w:r>
        <w:rPr>
          <w:rFonts w:hint="eastAsia" w:cs="Times New Roman"/>
          <w:color w:val="auto"/>
          <w:highlight w:val="none"/>
        </w:rPr>
        <w:t xml:space="preserve">采购本国产品的支持政策</w:t>
      </w:r>
      <w:r/>
    </w:p>
    <w:p>
      <w:pPr>
        <w:pStyle w:val="70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1、</w:t>
      </w:r>
      <w:r>
        <w:rPr>
          <w:rFonts w:hint="eastAsia" w:cs="Times New Roman"/>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70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2、</w:t>
      </w:r>
      <w:r>
        <w:rPr>
          <w:rFonts w:hint="eastAsia" w:cs="Times New Roman"/>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0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3、</w:t>
      </w:r>
      <w:r>
        <w:rPr>
          <w:rFonts w:hint="eastAsia" w:cs="Times New Roman"/>
          <w:color w:val="auto"/>
          <w:highlight w:val="none"/>
        </w:rPr>
        <w:t xml:space="preserve">供应商需按照招标文件的要求提供《关于符合本国产品标准的声明函》（以下简称《声明函》），如不提供将不享受本国产品价格评审优惠。</w:t>
      </w:r>
      <w:r/>
    </w:p>
    <w:p>
      <w:pPr>
        <w:pStyle w:val="70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4、</w:t>
      </w:r>
      <w:r>
        <w:rPr>
          <w:rFonts w:hint="eastAsia" w:cs="Times New Roman"/>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02"/>
        <w:ind w:firstLine="480"/>
        <w:jc w:val="both"/>
        <w:spacing w:before="0" w:beforeAutospacing="0" w:after="0" w:afterAutospacing="0" w:line="430" w:lineRule="exact"/>
        <w:rPr>
          <w:rFonts w:hint="eastAsia" w:cs="Times New Roman"/>
          <w:color w:val="auto"/>
          <w:highlight w:val="none"/>
          <w:lang w:val="en-US" w:eastAsia="zh-CN"/>
        </w:rPr>
      </w:pPr>
      <w:r>
        <w:rPr>
          <w:rFonts w:hint="eastAsia" w:cs="Times New Roman"/>
          <w:color w:val="auto"/>
          <w:highlight w:val="none"/>
          <w:lang w:val="en-US" w:eastAsia="zh-CN"/>
        </w:rPr>
        <w:t xml:space="preserve">5、</w:t>
      </w:r>
      <w:r>
        <w:rPr>
          <w:rFonts w:hint="eastAsia" w:cs="Times New Roman"/>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rPr>
        <w:t xml:space="preserve">如投标人提供虚假材料，将按“政府采购法”相关规定处理并由政府监管部门给予严肃处理。</w:t>
      </w:r>
      <w:r/>
    </w:p>
    <w:p>
      <w:pPr>
        <w:spacing w:line="430" w:lineRule="exact"/>
        <w:rPr>
          <w:rFonts w:ascii="宋体" w:hAnsi="宋体"/>
          <w:bCs/>
          <w:color w:val="auto"/>
          <w:sz w:val="28"/>
          <w:szCs w:val="28"/>
          <w:highlight w:val="none"/>
        </w:rPr>
      </w:pPr>
      <w:r>
        <w:rPr>
          <w:rFonts w:ascii="宋体" w:hAnsi="宋体"/>
          <w:bCs/>
          <w:color w:val="auto"/>
          <w:sz w:val="28"/>
          <w:szCs w:val="28"/>
          <w:highlight w:val="none"/>
        </w:rPr>
      </w:r>
      <w:r/>
    </w:p>
    <w:p>
      <w:pPr>
        <w:spacing w:line="430" w:lineRule="exact"/>
        <w:rPr>
          <w:rFonts w:ascii="宋体" w:hAnsi="宋体"/>
          <w:bCs/>
          <w:color w:val="auto"/>
          <w:sz w:val="28"/>
          <w:szCs w:val="28"/>
          <w:highlight w:val="none"/>
        </w:rPr>
      </w:pPr>
      <w:r>
        <w:rPr>
          <w:rFonts w:hint="eastAsia" w:ascii="宋体" w:hAnsi="宋体"/>
          <w:bCs/>
          <w:color w:val="auto"/>
          <w:sz w:val="28"/>
          <w:szCs w:val="28"/>
          <w:highlight w:val="none"/>
        </w:rPr>
        <w:t xml:space="preserve">四、其它须落实的政府采购政策：</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auto"/>
          <w:sz w:val="24"/>
          <w:szCs w:val="24"/>
          <w:highlight w:val="none"/>
        </w:rPr>
        <w:t xml:space="preserve">由报价较低的</w:t>
      </w:r>
      <w:r>
        <w:rPr>
          <w:rFonts w:ascii="宋体" w:hAnsi="宋体"/>
          <w:color w:val="auto"/>
          <w:sz w:val="24"/>
          <w:szCs w:val="24"/>
          <w:highlight w:val="none"/>
        </w:rPr>
        <w:t xml:space="preserve">投标人获得中标人推荐资格，</w:t>
      </w:r>
      <w:r>
        <w:rPr>
          <w:rFonts w:hint="eastAsia" w:ascii="宋体" w:hAnsi="宋体"/>
          <w:color w:val="auto"/>
          <w:sz w:val="24"/>
          <w:szCs w:val="24"/>
          <w:highlight w:val="none"/>
        </w:rPr>
        <w:t xml:space="preserve">如报价也相同，则</w:t>
      </w:r>
      <w:r>
        <w:rPr>
          <w:rFonts w:ascii="宋体" w:hAnsi="宋体"/>
          <w:color w:val="auto"/>
          <w:sz w:val="24"/>
          <w:szCs w:val="24"/>
          <w:highlight w:val="none"/>
        </w:rPr>
        <w:t xml:space="preserve">采取随机抽取方式确定，其他同品牌投标人不作为中标候选人。非单一产品采购项目，多家投标人提供的核心产品</w:t>
      </w:r>
      <w:r>
        <w:rPr>
          <w:rFonts w:hint="eastAsia" w:ascii="宋体" w:hAnsi="宋体"/>
          <w:color w:val="auto"/>
          <w:sz w:val="24"/>
          <w:szCs w:val="24"/>
          <w:highlight w:val="none"/>
        </w:rPr>
        <w:t xml:space="preserve">（标注）</w:t>
      </w:r>
      <w:r>
        <w:rPr>
          <w:rFonts w:ascii="宋体" w:hAnsi="宋体"/>
          <w:color w:val="auto"/>
          <w:sz w:val="24"/>
          <w:szCs w:val="24"/>
          <w:highlight w:val="none"/>
        </w:rPr>
        <w:t xml:space="preserve">品牌相同的，按</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规定处理</w:t>
      </w:r>
      <w:r>
        <w:rPr>
          <w:rFonts w:hint="eastAsia" w:ascii="宋体" w:hAnsi="宋体"/>
          <w:color w:val="auto"/>
          <w:sz w:val="24"/>
          <w:szCs w:val="24"/>
          <w:highlight w:val="none"/>
        </w:rPr>
        <w:t xml:space="preserve">。</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2、根据苏州市财政局《关于贯彻执行绿色采购、促进残疾人就业和支持监狱企业发展有关政策的通知》（苏财购〔2019〕10号）文件的规定：</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2.1环保与节能：</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w:r>
      <w:r>
        <w:rPr>
          <w:rFonts w:ascii="宋体" w:hAnsi="宋体"/>
          <w:color w:val="auto"/>
          <w:sz w:val="24"/>
          <w:szCs w:val="24"/>
          <w:highlight w:val="none"/>
        </w:rPr>
        <mc:AlternateContent>
          <mc:Choice Requires="wpg">
            <w:drawing>
              <wp:inline xmlns:wp="http://schemas.openxmlformats.org/drawingml/2006/wordprocessingDrawing" distT="0" distB="0" distL="0" distR="0">
                <wp:extent cx="196850" cy="139700"/>
                <wp:effectExtent l="0" t="0" r="1270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5"/>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5pt;height:11.0pt;mso-wrap-distance-left:0.0pt;mso-wrap-distance-top:0.0pt;mso-wrap-distance-right:0.0pt;mso-wrap-distance-bottom:0.0pt;" stroked="f">
                <v:path textboxrect="0,0,0,0"/>
                <v:imagedata r:id="rId15" o:title=""/>
              </v:shape>
            </w:pict>
          </mc:Fallback>
        </mc:AlternateContent>
      </w:r>
      <w:r>
        <w:rPr>
          <w:color w:val="auto"/>
          <w:highlight w:val="none"/>
        </w:rPr>
        <w:fldChar w:fldCharType="begin"/>
      </w:r>
      <w:r>
        <w:rPr>
          <w:color w:val="auto"/>
          <w:highlight w:val="none"/>
        </w:rPr>
        <w:instrText xml:space="preserve"> HYPERLINK "http://www.ccgp.gov.cn）查询，否则视为无效投标" </w:instrText>
      </w:r>
      <w:r>
        <w:rPr>
          <w:color w:val="auto"/>
          <w:highlight w:val="none"/>
        </w:rPr>
        <w:fldChar w:fldCharType="separate"/>
      </w:r>
      <w:r>
        <w:rPr>
          <w:rFonts w:hint="eastAsia" w:ascii="宋体" w:hAnsi="宋体"/>
          <w:color w:val="auto"/>
          <w:sz w:val="24"/>
          <w:szCs w:val="24"/>
          <w:highlight w:val="none"/>
        </w:rPr>
        <w:t xml:space="preserve">http://www.ccgp.gov.cn）查询，否则视为无效投标</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w:r>
      <w:r>
        <w:rPr>
          <w:rFonts w:ascii="宋体" w:hAnsi="宋体"/>
          <w:color w:val="auto"/>
          <w:sz w:val="24"/>
          <w:szCs w:val="24"/>
          <w:highlight w:val="none"/>
        </w:rPr>
        <mc:AlternateContent>
          <mc:Choice Requires="wpg">
            <w:drawing>
              <wp:inline xmlns:wp="http://schemas.openxmlformats.org/drawingml/2006/wordprocessingDrawing" distT="0" distB="0" distL="0" distR="0">
                <wp:extent cx="196850" cy="139700"/>
                <wp:effectExtent l="0" t="0" r="12700"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5"/>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5pt;height:11.0pt;mso-wrap-distance-left:0.0pt;mso-wrap-distance-top:0.0pt;mso-wrap-distance-right:0.0pt;mso-wrap-distance-bottom:0.0pt;" stroked="f">
                <v:path textboxrect="0,0,0,0"/>
                <v:imagedata r:id="rId15" o:title=""/>
              </v:shape>
            </w:pict>
          </mc:Fallback>
        </mc:AlternateContent>
      </w:r>
      <w:r>
        <w:rPr>
          <w:rFonts w:hint="eastAsia" w:ascii="宋体" w:hAnsi="宋体"/>
          <w:color w:val="auto"/>
          <w:sz w:val="24"/>
          <w:szCs w:val="24"/>
          <w:highlight w:val="none"/>
        </w:rPr>
        <w:t xml:space="preserve">http://www.ccgp.gov.cn）查询。</w:t>
      </w:r>
      <w:r/>
    </w:p>
    <w:p>
      <w:pPr>
        <w:spacing w:line="430" w:lineRule="exact"/>
        <w:rPr>
          <w:rFonts w:ascii="宋体" w:hAnsi="宋体"/>
          <w:color w:val="auto"/>
          <w:szCs w:val="21"/>
          <w:highlight w:val="none"/>
        </w:rPr>
      </w:pPr>
      <w:r>
        <w:rPr>
          <w:rFonts w:ascii="宋体" w:hAnsi="宋体"/>
          <w:color w:val="auto"/>
          <w:szCs w:val="21"/>
          <w:highlight w:val="none"/>
        </w:rPr>
      </w:r>
      <w:r/>
    </w:p>
    <w:p>
      <w:pPr>
        <w:spacing w:line="430" w:lineRule="exact"/>
        <w:rPr>
          <w:rFonts w:ascii="宋体" w:hAnsi="宋体"/>
          <w:bCs/>
          <w:color w:val="auto"/>
          <w:sz w:val="28"/>
          <w:szCs w:val="28"/>
          <w:highlight w:val="none"/>
        </w:rPr>
      </w:pPr>
      <w:r>
        <w:rPr>
          <w:rFonts w:hint="eastAsia" w:ascii="宋体" w:hAnsi="宋体"/>
          <w:bCs/>
          <w:color w:val="auto"/>
          <w:sz w:val="28"/>
          <w:szCs w:val="28"/>
          <w:highlight w:val="none"/>
        </w:rPr>
        <w:t xml:space="preserve">五、信用记录：</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（1）查询截止时点：投标截止时间以后。</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（2）查询渠道：</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通过“信用中国”网站上查询的信用信息。</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（3）查询证据留存方式：</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对存在失信信息的投标人，采购代理机构工作人员应登陆到来源网站页面进行复核并打印，作为证据留存。</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（4）信用记录使用规则：</w:t>
      </w:r>
      <w:r/>
    </w:p>
    <w:p>
      <w:pPr>
        <w:ind w:firstLine="480"/>
        <w:spacing w:line="430" w:lineRule="exact"/>
        <w:rPr>
          <w:rFonts w:ascii="宋体" w:hAnsi="宋体"/>
          <w:bCs/>
          <w:color w:val="auto"/>
          <w:sz w:val="28"/>
          <w:szCs w:val="28"/>
          <w:highlight w:val="none"/>
        </w:rPr>
      </w:pPr>
      <w:r>
        <w:rPr>
          <w:rFonts w:hint="eastAsia" w:ascii="宋体" w:hAnsi="宋体"/>
          <w:color w:val="auto"/>
          <w:sz w:val="24"/>
          <w:szCs w:val="24"/>
          <w:highlight w:val="none"/>
        </w:rPr>
        <w:t xml:space="preserve">评标委员会在对投标人进行符合性审查时，应根据查询结果对投标人的不良信用记录逐项甄别确认。投标人存在上述文件规定的失信行为的，其投标无效。</w:t>
      </w:r>
      <w:r/>
    </w:p>
    <w:p>
      <w:pPr>
        <w:ind w:firstLine="240"/>
        <w:rPr>
          <w:rFonts w:ascii="宋体" w:hAnsi="宋体"/>
          <w:color w:val="auto"/>
          <w:sz w:val="24"/>
          <w:highlight w:val="none"/>
        </w:rPr>
      </w:pPr>
      <w:r>
        <w:rPr>
          <w:rFonts w:ascii="宋体" w:hAnsi="宋体"/>
          <w:color w:val="auto"/>
          <w:sz w:val="24"/>
          <w:highlight w:val="none"/>
        </w:rPr>
      </w:r>
      <w:r/>
    </w:p>
    <w:p>
      <w:pPr>
        <w:pStyle w:val="653"/>
        <w:rPr>
          <w:b w:val="0"/>
          <w:color w:val="auto"/>
          <w:highlight w:val="none"/>
        </w:rPr>
      </w:pPr>
      <w:r>
        <w:rPr>
          <w:b w:val="0"/>
          <w:color w:val="auto"/>
          <w:highlight w:val="none"/>
        </w:rPr>
        <w:br w:type="page" w:clear="all"/>
      </w:r>
      <w:bookmarkStart w:id="73" w:name="_Toc187920256"/>
      <w:r>
        <w:rPr>
          <w:b w:val="0"/>
          <w:color w:val="auto"/>
          <w:highlight w:val="none"/>
        </w:rPr>
        <w:t xml:space="preserve">第</w:t>
      </w:r>
      <w:r>
        <w:rPr>
          <w:rFonts w:hint="eastAsia"/>
          <w:b w:val="0"/>
          <w:color w:val="auto"/>
          <w:highlight w:val="none"/>
        </w:rPr>
        <w:t xml:space="preserve">六</w:t>
      </w:r>
      <w:r>
        <w:rPr>
          <w:b w:val="0"/>
          <w:color w:val="auto"/>
          <w:highlight w:val="none"/>
        </w:rPr>
        <w:t xml:space="preserve">章  合同格式</w:t>
      </w:r>
      <w:bookmarkEnd w:id="52"/>
      <w:r/>
      <w:bookmarkEnd w:id="53"/>
      <w:r/>
      <w:bookmarkEnd w:id="54"/>
      <w:r/>
      <w:bookmarkEnd w:id="73"/>
      <w:r/>
      <w:r/>
    </w:p>
    <w:p>
      <w:pPr>
        <w:ind w:right="960"/>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合同编号</w:t>
      </w:r>
      <w:r>
        <w:rPr>
          <w:rFonts w:hint="eastAsia" w:ascii="宋体" w:hAnsi="宋体"/>
          <w:color w:val="auto"/>
          <w:sz w:val="24"/>
          <w:szCs w:val="24"/>
          <w:highlight w:val="none"/>
        </w:rPr>
        <w:t xml:space="preserve">：</w:t>
      </w:r>
      <w:r/>
    </w:p>
    <w:p>
      <w:pPr>
        <w:ind w:right="480"/>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签订地点：</w:t>
      </w:r>
      <w:r>
        <w:rPr>
          <w:rFonts w:hint="eastAsia" w:ascii="宋体" w:hAnsi="宋体"/>
          <w:color w:val="auto"/>
          <w:sz w:val="24"/>
          <w:szCs w:val="24"/>
          <w:highlight w:val="none"/>
        </w:rPr>
        <w:t xml:space="preserve">常熟市</w:t>
      </w:r>
      <w:r/>
    </w:p>
    <w:p>
      <w:pPr>
        <w:jc w:val="left"/>
        <w:spacing w:line="440" w:lineRule="exact"/>
        <w:rPr>
          <w:rFonts w:ascii="宋体" w:hAnsi="宋体"/>
          <w:color w:val="auto"/>
          <w:sz w:val="28"/>
          <w:szCs w:val="28"/>
          <w:highlight w:val="none"/>
        </w:rPr>
      </w:pPr>
      <w:r>
        <w:rPr>
          <w:rFonts w:ascii="宋体" w:hAnsi="宋体"/>
          <w:color w:val="auto"/>
          <w:sz w:val="28"/>
          <w:szCs w:val="28"/>
          <w:highlight w:val="none"/>
        </w:rPr>
      </w:r>
      <w:r/>
    </w:p>
    <w:p>
      <w:pPr>
        <w:spacing w:line="440" w:lineRule="exact"/>
        <w:rPr>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信用融资回款账户：</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开户银行：</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根据《中华人民共和国政府采购法》及其实施条例、《中华人民共和国民法典》等法律法规的规定，甲乙双方按照项目（项目编号：）政府采购结果签订本合同。</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第一条 定义</w:t>
      </w:r>
      <w:r/>
    </w:p>
    <w:p>
      <w:pPr>
        <w:ind w:firstLine="480"/>
        <w:spacing w:line="380" w:lineRule="exact"/>
        <w:rPr>
          <w:color w:val="auto"/>
          <w:sz w:val="24"/>
          <w:szCs w:val="24"/>
          <w:highlight w:val="none"/>
        </w:rPr>
      </w:pPr>
      <w:r>
        <w:rPr>
          <w:rFonts w:hint="eastAsia" w:ascii="宋体" w:hAnsi="宋体"/>
          <w:color w:val="auto"/>
          <w:sz w:val="24"/>
          <w:szCs w:val="24"/>
          <w:highlight w:val="none"/>
        </w:rPr>
        <w:t xml:space="preserve">除非另有特别解释或说明，本合同有关词语应按如下定义解释：</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1.1合同：甲方、乙方签署的与本项目相关的合同书、协议、附件、附录、其他文件和政府采购过程中的全部文件。</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1.2甲方：购买本合同项下货物并接受相关服务的国家机关、事业单位、团体组织。</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1.3乙方：提供本合同项下货物和服务的法人、其他组织或自然人。</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1.4货物：根据合同规定乙方为完成本项目应向甲方提供的一切货物及备件、工具、手册、技术资料及其他材料。</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第二条 组成本合同的文件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2.1下列政府采购过程文件为本合同不可分割部分：</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①中标或成交通知书；</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②招标文件、竞争性谈判文件、询价文件、单一来源谈判记录、竞争性磋商文件等（以下统称“采购文件”）；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③乙方的投标文件或响应文件；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④乙方在报价过程中所作的其它承诺、声明、书面澄清等。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2.2上述文件之间如果出现不一致的，以甲方文件确定的内容为准，但乙方文件的内容对甲方更有利的，适用乙方文件。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2.3乙方文件应当符合采购文件确定的原则，如果乙方文件中的表述，形式上符合招标文件原则，但具体内容对甲方不利、对乙方有利的，视为背离采购文件，不予适用。</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第三条 合同货物</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合同货物清单详见采购文件；乙方负责按照合同要求向甲方提供前述清单中的货物。</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第四条 合同总价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4.1合同总价按此次采购结果执行，总金额为人民币元（大写</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）。本合同为固定总价合同。</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第五条 款项支付</w:t>
      </w:r>
      <w:r/>
    </w:p>
    <w:p>
      <w:pPr>
        <w:ind w:firstLine="480"/>
        <w:spacing w:line="42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.1 预付款：合同签订后的30日内，采购人向中标人支付合同总价的30%作为预付款。</w:t>
      </w:r>
      <w:r/>
    </w:p>
    <w:p>
      <w:pPr>
        <w:ind w:firstLine="480"/>
        <w:spacing w:line="42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.2 余款支付：所有货物运至指定地点并经验收通过且收到发票后30日内采购人向中标人付清全部货款。</w:t>
      </w:r>
      <w:r/>
    </w:p>
    <w:p>
      <w:pPr>
        <w:ind w:firstLine="480"/>
        <w:spacing w:line="42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.3 本项目所有款项允许通过数字人民币支付。</w:t>
      </w:r>
      <w:r/>
    </w:p>
    <w:p>
      <w:pPr>
        <w:ind w:firstLine="480"/>
        <w:spacing w:line="42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.4 如中标人无需预付款或主动要求降低预付款比例的，与采购人自行协商。</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第六条 权利保证</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第七条 质量保证</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7.1乙方保证货物完全符合国家相关法律法规和质量标准的规定，不会有任何三无、假冒、伪劣或违禁、走私的物品。</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7.3</w:t>
      </w:r>
      <w:r>
        <w:rPr>
          <w:rFonts w:ascii="宋体" w:hAnsi="宋体"/>
          <w:color w:val="auto"/>
          <w:sz w:val="24"/>
          <w:szCs w:val="24"/>
          <w:highlight w:val="none"/>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7.4</w:t>
      </w:r>
      <w:r>
        <w:rPr>
          <w:rFonts w:ascii="宋体" w:hAnsi="宋体"/>
          <w:color w:val="auto"/>
          <w:sz w:val="24"/>
          <w:szCs w:val="24"/>
          <w:highlight w:val="none"/>
        </w:rPr>
        <w:t xml:space="preserve">货物经甲方验收后，</w:t>
      </w:r>
      <w:r>
        <w:rPr>
          <w:rFonts w:hint="eastAsia" w:ascii="宋体" w:hAnsi="宋体"/>
          <w:color w:val="auto"/>
          <w:sz w:val="24"/>
          <w:szCs w:val="24"/>
          <w:highlight w:val="none"/>
        </w:rPr>
        <w:t xml:space="preserve">乙方仍应对由于质量、卫生、设计、工艺或材料、运输安全等方面产生的各类缺陷承担全部责任。</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第八条 包装要求</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第九条 交货</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9.1乙方应按照本合同规定的时间和方式向甲方交付货物。</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9.2交付时间：合同签订后，按甲方通知确定的期限或者在采购文件约定的期限内，乙方应当完成供货、安装及调试工作并通过甲方或甲方委托的第三方的验收。</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9.3本项目交货方式为现场交货。交付地点为：</w:t>
      </w:r>
      <w:r>
        <w:rPr>
          <w:rFonts w:hint="eastAsia" w:ascii="宋体" w:hAnsi="宋体" w:cs="宋体"/>
          <w:color w:val="auto"/>
          <w:sz w:val="24"/>
          <w:szCs w:val="24"/>
          <w:highlight w:val="none"/>
          <w:u w:val="single"/>
        </w:rPr>
        <w:t xml:space="preserve">常熟市海虞南路68号 ，</w:t>
      </w:r>
      <w:r>
        <w:rPr>
          <w:rFonts w:hint="eastAsia" w:ascii="宋体" w:hAnsi="宋体"/>
          <w:color w:val="auto"/>
          <w:sz w:val="24"/>
          <w:szCs w:val="24"/>
          <w:highlight w:val="none"/>
        </w:rPr>
        <w:t xml:space="preserve">乙方负责办理货物的运输、装卸和保险，一切费用均由乙方承担。</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第十条 到货验收</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5854700" cy="165100"/>
                        </a:xfrm>
                        <a:prstGeom prst="rect">
                          <a:avLst/>
                        </a:prstGeom>
                        <a:noFill/>
                        <a:ln>
                          <a:noFill/>
                        </a:ln>
                        <a:effectLst/>
                      </wps:spPr>
                      <wps:txbx>
                        <w:txbxContent>
                          <w:p>
                            <w:r/>
                            <w:r/>
                          </w:p>
                          <w:p>
                            <w:r/>
                            <w:r/>
                          </w:p>
                          <w:p>
                            <w:r/>
                            <w:r/>
                          </w:p>
                        </w:txbxContent>
                      </wps:txbx>
                      <wps:bodyPr wrap="square" lIns="25400" tIns="0" rIns="25400" bIns="0" anchor="t" anchorCtr="0" upright="1"/>
                    </wps:wsp>
                  </a:graphicData>
                </a:graphic>
              </wp:anchor>
            </w:drawing>
          </mc:Choice>
          <mc:Fallback>
            <w:pict>
              <v:shape id="shape 3" o:spid="_x0000_s3" o:spt="1" type="#_x0000_t1" style="position:absolute;z-index:251660288;o:allowoverlap:true;o:allowincell:true;mso-position-horizontal-relative:page;margin-left:64.0pt;mso-position-horizontal:absolute;mso-position-vertical-relative:text;margin-top:-21.0pt;mso-position-vertical:absolute;width:461.0pt;height:13.0pt;mso-wrap-distance-left:0.0pt;mso-wrap-distance-top:0.0pt;mso-wrap-distance-right:0.0pt;mso-wrap-distance-bottom:0.0pt;v-text-anchor:top;visibility:visible;" filled="f" stroked="f">
                <v:textbox inset="0,0,0,0">
                  <w:txbxContent>
                    <w:p>
                      <w:r/>
                      <w:r/>
                    </w:p>
                    <w:p>
                      <w:r/>
                      <w:r/>
                    </w:p>
                    <w:p>
                      <w:r/>
                      <w:r/>
                    </w:p>
                  </w:txbxContent>
                </v:textbox>
              </v:shape>
            </w:pict>
          </mc:Fallback>
        </mc:AlternateContent>
      </w:r>
      <w:r/>
    </w:p>
    <w:p>
      <w:pPr>
        <w:ind w:firstLine="50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10.5有关货物外观、规格、数量或重量的检验不应视为最终检验。</w:t>
      </w:r>
      <w:r/>
    </w:p>
    <w:p>
      <w:pPr>
        <w:ind w:firstLine="500"/>
        <w:spacing w:line="400" w:lineRule="exact"/>
        <w:rPr>
          <w:i/>
          <w:color w:val="auto"/>
          <w:sz w:val="24"/>
          <w:szCs w:val="24"/>
          <w:highlight w:val="none"/>
        </w:rPr>
      </w:pPr>
      <w:r>
        <w:rPr>
          <w:rFonts w:hint="eastAsia" w:ascii="宋体" w:hAnsi="宋体"/>
          <w:color w:val="auto"/>
          <w:sz w:val="24"/>
          <w:szCs w:val="24"/>
          <w:highlight w:val="none"/>
        </w:rPr>
        <w:t xml:space="preserve">第十一条 伴随服务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11.1乙方应提供下列伴随服务：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11.1.1货物的现场安装、施工、调试和／或启动监督；</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11.1.2就货物的安装、调试、启动、运行及维护等对甲方人员进行免费培训。</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11.2安装施工调试期间甲方责任：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11.2.1负责提供场地和有关货物的安装位置；</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11.2.2提供符合安装施工调试要求的电源和水源等；</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11.2.3负责乙方安装施工调试期间与其他施工安装单位交叉作业时的协调工作；</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11.2.4配合乙方做好与安装施工调试有关的辅助性事务；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11.2.5对乙方的安装施工调试工作进行监督管理。</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11.3安装施工调试期间乙方责任：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11.3.1负责货物运抵指定地点后的搬运及看护保管；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11.3.2在安装施工前负责派员前往安装现场进行勘测，确认施工现场条件，与甲方约定具体开工日期；</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11.3.3按照国家规定的相关安装规范和质量标准完成安装施工调试工作；</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11.3.4遵守施工现场的有关规章制度，文明施工、安全施工，接受甲方的监督管理；</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11.3.5配合甲方工作，参加现场施工协调会议；</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11.3.6负责现场施工人员的保险和一切安全责任；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11.3.7负责安装质量的自检验收，配合甲方完成验收工作及项目的移交；</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11.3.8按照有关部门要求完成质量评定和安装施工记录；</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11.3.9负责安装施工调试期间由于乙方过错所造成的一切损失。</w:t>
      </w:r>
      <w:r/>
    </w:p>
    <w:p>
      <w:pPr>
        <w:ind w:firstLine="500"/>
        <w:spacing w:line="480" w:lineRule="exact"/>
        <w:rPr>
          <w:color w:val="auto"/>
          <w:sz w:val="24"/>
          <w:szCs w:val="24"/>
          <w:highlight w:val="none"/>
        </w:rPr>
      </w:pPr>
      <w:r>
        <w:rPr>
          <w:rFonts w:hint="eastAsia" w:ascii="宋体" w:hAnsi="宋体"/>
          <w:color w:val="auto"/>
          <w:sz w:val="24"/>
          <w:szCs w:val="24"/>
          <w:highlight w:val="none"/>
        </w:rPr>
        <w:t xml:space="preserve">第十二条 最终验收</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12.1货物安装调试结束后，乙方应以书面方式及时通知甲方对项目进行最终验收，验收合格的，由甲乙双方签署验收单并加盖单位公章。</w:t>
      </w:r>
      <w:r/>
    </w:p>
    <w:p>
      <w:pPr>
        <w:ind w:firstLine="50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12.3甲方有权抽样送交第三方进行检测，相应的检测费用由采购文件约定的一方承担，未约定的协商确定。</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12.5验收标准应遵循国家相关标准、行业通行标准、厂方出厂标准、采购文件要求和乙方承诺、甲方要求等。</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12.6甲方有权要求乙方提供采购原材料或货物的采购合同、票据或付款凭证，以核实乙方供货来源的真实性。</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第十三条 售后服务</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13.1乙方应按照国家有关法律法规、行业规定以及采购文件规定、投标文件或响应文件承诺的内容提供售后服务。具体为：</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13.1.1从乙方将货物送至甲方指定地址后应负责免费安装调试（如需）。</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13.1.2货物免费保修年，自甲方最终验收合格之日（如无需安装调试的，则自到货验收合格之日起）起计算。</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13.1.3乙方应在接到甲方通知后小时内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r/>
    </w:p>
    <w:p>
      <w:pPr>
        <w:ind w:firstLine="480"/>
        <w:spacing w:line="480" w:lineRule="exact"/>
        <w:rPr>
          <w:color w:val="auto"/>
          <w:sz w:val="24"/>
          <w:szCs w:val="24"/>
          <w:highlight w:val="none"/>
          <w:u w:val="single"/>
        </w:rPr>
      </w:pPr>
      <w:r>
        <w:rPr>
          <w:rFonts w:hint="eastAsia" w:ascii="宋体" w:hAnsi="宋体"/>
          <w:color w:val="auto"/>
          <w:sz w:val="24"/>
          <w:szCs w:val="24"/>
          <w:highlight w:val="none"/>
        </w:rPr>
        <w:t xml:space="preserve">报修电话：</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联系人：</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13.1.4免费保修期内，乙方免收甲方所有费用，包括但不限于零部件费用、人工费、交通费、住宿费等。</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13.1.5若在免费保修期内，乙方拒绝维修或迟延维修的，甲方有权自行或委托第三方维修，因此产生的所有费用由乙方承担。</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13.1.6免费保修期满后，若甲方要求乙方提供维修的，甲方承担维修所需更换零部件／配件费用，乙方同意按不高于市场价收费。</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第十四条 违约责任</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14.1</w:t>
      </w:r>
      <w:r>
        <w:rPr>
          <w:rFonts w:ascii="宋体" w:hAnsi="宋体" w:cs="Courier New"/>
          <w:color w:val="auto"/>
          <w:sz w:val="24"/>
          <w:szCs w:val="24"/>
          <w:highlight w:val="none"/>
        </w:rPr>
        <w:t xml:space="preserve">甲方无正当理由拒收货物的，甲方向乙方偿付拒收</w:t>
      </w:r>
      <w:r>
        <w:rPr>
          <w:rFonts w:hint="eastAsia" w:ascii="宋体" w:hAnsi="宋体" w:cs="Courier New"/>
          <w:color w:val="auto"/>
          <w:sz w:val="24"/>
          <w:szCs w:val="24"/>
          <w:highlight w:val="none"/>
        </w:rPr>
        <w:t xml:space="preserve">货物价款</w:t>
      </w:r>
      <w:r>
        <w:rPr>
          <w:rFonts w:hint="eastAsia" w:ascii="宋体" w:hAnsi="宋体" w:cs="Courier New"/>
          <w:color w:val="auto"/>
          <w:sz w:val="24"/>
          <w:szCs w:val="24"/>
          <w:highlight w:val="none"/>
          <w:u w:val="single"/>
        </w:rPr>
        <w:t xml:space="preserve">  5%  </w:t>
      </w:r>
      <w:r>
        <w:rPr>
          <w:rFonts w:ascii="宋体" w:hAnsi="宋体" w:cs="Courier New"/>
          <w:color w:val="auto"/>
          <w:sz w:val="24"/>
          <w:szCs w:val="24"/>
          <w:highlight w:val="none"/>
        </w:rPr>
        <w:t xml:space="preserve">的违约金；</w:t>
      </w:r>
      <w:r>
        <w:rPr>
          <w:rFonts w:hint="eastAsia" w:ascii="宋体" w:hAnsi="宋体"/>
          <w:color w:val="auto"/>
          <w:sz w:val="24"/>
          <w:szCs w:val="24"/>
          <w:highlight w:val="none"/>
        </w:rPr>
        <w:t xml:space="preserve">甲方逾期付款的，每逾期一日，乙方有权要求甲方按照逾期付款金额的</w:t>
      </w:r>
      <w:r>
        <w:rPr>
          <w:rFonts w:hint="eastAsia" w:ascii="宋体" w:hAnsi="宋体"/>
          <w:color w:val="auto"/>
          <w:sz w:val="24"/>
          <w:szCs w:val="24"/>
          <w:highlight w:val="none"/>
          <w:u w:val="single"/>
        </w:rPr>
        <w:t xml:space="preserve">0.01%</w:t>
      </w:r>
      <w:r>
        <w:rPr>
          <w:rFonts w:hint="eastAsia" w:ascii="宋体" w:hAnsi="宋体"/>
          <w:color w:val="auto"/>
          <w:sz w:val="24"/>
          <w:szCs w:val="24"/>
          <w:highlight w:val="none"/>
        </w:rPr>
        <w:t xml:space="preserve">向乙方支付违约金，但违约金累计不得超过逾期付款金额的</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14.2乙方逾期交付货物的，每逾期一日，甲方有权要求乙方向甲方支付逾期交付货物价款</w:t>
      </w:r>
      <w:r>
        <w:rPr>
          <w:rFonts w:hint="eastAsia" w:ascii="宋体" w:hAnsi="宋体"/>
          <w:color w:val="auto"/>
          <w:sz w:val="24"/>
          <w:szCs w:val="24"/>
          <w:highlight w:val="none"/>
          <w:u w:val="single"/>
        </w:rPr>
        <w:t xml:space="preserve">0.5%</w:t>
      </w:r>
      <w:r>
        <w:rPr>
          <w:rFonts w:hint="eastAsia" w:ascii="宋体" w:hAnsi="宋体"/>
          <w:color w:val="auto"/>
          <w:sz w:val="24"/>
          <w:szCs w:val="24"/>
          <w:highlight w:val="none"/>
        </w:rPr>
        <w:t xml:space="preserve">的违约金，但违约金累计不得超过逾期交付货物价款的</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；一旦违约金总额累计达到逾期交付货物价款的</w:t>
      </w:r>
      <w:r>
        <w:rPr>
          <w:rFonts w:hint="eastAsia" w:ascii="宋体" w:hAnsi="宋体"/>
          <w:color w:val="auto"/>
          <w:sz w:val="24"/>
          <w:szCs w:val="24"/>
          <w:highlight w:val="none"/>
          <w:u w:val="single"/>
        </w:rPr>
        <w:t xml:space="preserve">8%</w:t>
      </w:r>
      <w:r>
        <w:rPr>
          <w:rFonts w:hint="eastAsia" w:ascii="宋体" w:hAnsi="宋体"/>
          <w:color w:val="auto"/>
          <w:sz w:val="24"/>
          <w:szCs w:val="24"/>
          <w:highlight w:val="none"/>
        </w:rPr>
        <w:t xml:space="preserve">，甲方有权解除合同。但违约金不足补偿甲方实际损失或损害的，甲方有权要求乙方赔偿甲方的实际损失或损害。</w:t>
      </w:r>
      <w:r/>
    </w:p>
    <w:p>
      <w:pPr>
        <w:ind w:firstLine="500"/>
        <w:spacing w:line="420" w:lineRule="exact"/>
        <w:rPr>
          <w:color w:val="auto"/>
          <w:sz w:val="24"/>
          <w:szCs w:val="24"/>
          <w:highlight w:val="none"/>
        </w:rPr>
      </w:pPr>
      <w:r>
        <w:rPr>
          <w:rFonts w:hint="eastAsia" w:ascii="宋体" w:hAnsi="宋体"/>
          <w:color w:val="auto"/>
          <w:sz w:val="24"/>
          <w:szCs w:val="24"/>
          <w:highlight w:val="none"/>
        </w:rPr>
        <w:t xml:space="preserve">14.3若乙方未经甲方书面同意不能按照本合同约定交货逾期超过</w:t>
      </w:r>
      <w:r>
        <w:rPr>
          <w:rFonts w:hint="eastAsia" w:ascii="宋体" w:hAnsi="宋体"/>
          <w:color w:val="auto"/>
          <w:sz w:val="24"/>
          <w:szCs w:val="24"/>
          <w:highlight w:val="none"/>
          <w:u w:val="single"/>
        </w:rPr>
        <w:t xml:space="preserve">30</w:t>
      </w:r>
      <w:r>
        <w:rPr>
          <w:rFonts w:hint="eastAsia" w:ascii="宋体" w:hAnsi="宋体"/>
          <w:color w:val="auto"/>
          <w:sz w:val="24"/>
          <w:szCs w:val="24"/>
          <w:highlight w:val="none"/>
        </w:rPr>
        <w:t xml:space="preserve">日，将视为严重违约，甲方有权单方面解除本合同而不承担任何责任，本合同自甲方书面通知乙方解除合同之日起自动终止，同时甲方有权要求乙方在甲方书面通知之日起</w:t>
      </w:r>
      <w:r>
        <w:rPr>
          <w:rFonts w:hint="eastAsia" w:ascii="宋体" w:hAnsi="宋体"/>
          <w:color w:val="auto"/>
          <w:sz w:val="24"/>
          <w:szCs w:val="24"/>
          <w:highlight w:val="none"/>
          <w:u w:val="single"/>
        </w:rPr>
        <w:t xml:space="preserve">15</w:t>
      </w:r>
      <w:r>
        <w:rPr>
          <w:rFonts w:hint="eastAsia" w:ascii="宋体" w:hAnsi="宋体"/>
          <w:color w:val="auto"/>
          <w:sz w:val="24"/>
          <w:szCs w:val="24"/>
          <w:highlight w:val="none"/>
        </w:rPr>
        <w:t xml:space="preserve">日内向甲方支付本合同价款总额的</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，作为违约金。</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宋体" w:hAnsi="宋体"/>
          <w:color w:val="auto"/>
          <w:sz w:val="24"/>
          <w:szCs w:val="24"/>
          <w:highlight w:val="none"/>
          <w:u w:val="single"/>
        </w:rPr>
        <w:t xml:space="preserve">30</w:t>
      </w:r>
      <w:r>
        <w:rPr>
          <w:rFonts w:hint="eastAsia" w:ascii="宋体" w:hAnsi="宋体"/>
          <w:color w:val="auto"/>
          <w:sz w:val="24"/>
          <w:szCs w:val="24"/>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14.4.1乙方未能在甲方书面异议中限定的时间内根据甲方的要求进行调换或采取其他甲方同意的补救措施；</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14.4.2交付的货物因交付或验收（如适用）以前的原因而产生毁损／灭失／变质／泄漏／数量或重量短缺／质量不良／不安全等物质上的缺陷；</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14.4.3交付的货物存在为他人设定担保／交易限制／权属争议／不符合法律的强制性规定等法律上的缺陷；</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14.4.5交付的货物已经或者可能侵犯甲方以及其他第三人的专利权／商标权／专有技术／互联网络域名权／商业秘密等知识产权以及其他权利；</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14.4.6乙方未按照甲方的要求及时提供诸如增值税发票之类的财务文件以及其他必要的文件；</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乙方出现下列情形之一的，视为乙方出现了丧失履行本合同的能力，甲方有权单方解除合同并由乙方赔偿甲方由此产生的全部损失：</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14.5.1</w:t>
      </w:r>
      <w:r>
        <w:rPr>
          <w:rFonts w:ascii="宋体" w:hAnsi="宋体"/>
          <w:color w:val="auto"/>
          <w:sz w:val="24"/>
          <w:szCs w:val="24"/>
          <w:highlight w:val="none"/>
        </w:rPr>
        <w:t xml:space="preserve">乙方因为涉诉被冻结账户，导致无法履行合同的，或者乙方因为未能履行生效法律文书，被列入失信被执行人名录的；</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2乙方出现转包情形的</w:t>
      </w:r>
      <w:r>
        <w:rPr>
          <w:rFonts w:hint="eastAsia" w:ascii="宋体" w:hAnsi="宋体"/>
          <w:color w:val="auto"/>
          <w:sz w:val="24"/>
          <w:szCs w:val="24"/>
          <w:highlight w:val="none"/>
        </w:rPr>
        <w:t xml:space="preserve">；</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乙方不能履行合同义务的其他情况。</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第十五条 不可抗力</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15.1不可抗力，是指不能预见、不能避免并不能克服的客观情况，如战争、动乱、洪水、地震、风暴等。</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15.3发生不可抗力事件，任何一方均不对因不可抗力无法履行或迟延履行本合同义务而使另一方蒙受的任何损失承担责任，法律另有规定的除外。</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15.4合同各方应根据不可抗力对本合同履行的影响程度，协商确定是否终止本合同或是继续履行本合同。</w:t>
      </w:r>
      <w:r/>
    </w:p>
    <w:p>
      <w:pPr>
        <w:ind w:firstLine="460"/>
        <w:spacing w:line="400" w:lineRule="exact"/>
        <w:rPr>
          <w:bCs/>
          <w:color w:val="auto"/>
          <w:sz w:val="24"/>
          <w:szCs w:val="24"/>
          <w:highlight w:val="none"/>
        </w:rPr>
      </w:pPr>
      <w:r>
        <w:rPr>
          <w:rFonts w:hint="eastAsia" w:ascii="宋体" w:hAnsi="宋体"/>
          <w:bCs/>
          <w:color w:val="auto"/>
          <w:sz w:val="24"/>
          <w:szCs w:val="24"/>
          <w:highlight w:val="none"/>
        </w:rPr>
        <w:t xml:space="preserve">第十六条 合同的变更、中止</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本合同一经签订，合同双方不得擅自变更或中止合同，除非合同的继续履行将损害国家利益和社会公共利益。</w:t>
      </w:r>
      <w:r/>
    </w:p>
    <w:p>
      <w:pPr>
        <w:ind w:firstLine="460"/>
        <w:spacing w:line="400" w:lineRule="exact"/>
        <w:rPr>
          <w:bCs/>
          <w:color w:val="auto"/>
          <w:sz w:val="24"/>
          <w:szCs w:val="24"/>
          <w:highlight w:val="none"/>
        </w:rPr>
      </w:pPr>
      <w:r>
        <w:rPr>
          <w:rFonts w:hint="eastAsia" w:ascii="宋体" w:hAnsi="宋体"/>
          <w:bCs/>
          <w:color w:val="auto"/>
          <w:sz w:val="24"/>
          <w:szCs w:val="24"/>
          <w:highlight w:val="none"/>
        </w:rPr>
        <w:t xml:space="preserve">第十七条 合同的终止</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17.1本合同因下列原因而终止：</w:t>
      </w:r>
      <w:r/>
    </w:p>
    <w:p>
      <w:pPr>
        <w:ind w:firstLine="460"/>
        <w:spacing w:line="40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7.1.1本合同正常履行完毕；</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7.1.2因不可抗力导致本合同无法履行或履行不必要；</w:t>
      </w:r>
      <w:r/>
    </w:p>
    <w:p>
      <w:pPr>
        <w:ind w:firstLine="480"/>
        <w:spacing w:line="44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7.1.3任何一方行使解除权解除本合同；</w:t>
      </w:r>
      <w:r/>
    </w:p>
    <w:p>
      <w:pPr>
        <w:ind w:firstLine="480"/>
        <w:spacing w:line="44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7.1.4合同的继续履行将损害国家利益和社会公共利益且不宜变更或中止的。</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7.2除上述情形外，甲乙双方不得擅自终止合同。</w:t>
      </w:r>
      <w:r/>
    </w:p>
    <w:p>
      <w:pPr>
        <w:ind w:firstLine="482"/>
        <w:spacing w:line="440" w:lineRule="exact"/>
        <w:rPr>
          <w:bCs/>
          <w:color w:val="auto"/>
          <w:sz w:val="24"/>
          <w:szCs w:val="24"/>
          <w:highlight w:val="none"/>
        </w:rPr>
      </w:pPr>
      <w:r>
        <w:rPr>
          <w:rFonts w:hint="eastAsia" w:ascii="宋体" w:hAnsi="宋体"/>
          <w:bCs/>
          <w:color w:val="auto"/>
          <w:sz w:val="24"/>
          <w:szCs w:val="24"/>
          <w:highlight w:val="none"/>
        </w:rPr>
        <w:t xml:space="preserve">第十八条 合同的转让</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乙方不得将其合同项下的权利义务部分或全部转让给第三方。</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第十九条</w:t>
      </w:r>
      <w:r>
        <w:rPr>
          <w:rFonts w:ascii="宋体" w:hAnsi="宋体"/>
          <w:color w:val="auto"/>
          <w:sz w:val="24"/>
          <w:szCs w:val="24"/>
          <w:highlight w:val="none"/>
        </w:rPr>
        <w:t xml:space="preserve"> 履约保证金</w:t>
      </w:r>
      <w:bookmarkStart w:id="74" w:name="_Hlk151439847"/>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本项目不收取履约保证金</w:t>
      </w:r>
      <w:bookmarkEnd w:id="74"/>
      <w:r/>
      <w:r/>
    </w:p>
    <w:p>
      <w:pPr>
        <w:ind w:firstLine="482"/>
        <w:spacing w:line="440" w:lineRule="exact"/>
        <w:rPr>
          <w:bCs/>
          <w:color w:val="auto"/>
          <w:sz w:val="24"/>
          <w:szCs w:val="24"/>
          <w:highlight w:val="none"/>
        </w:rPr>
      </w:pPr>
      <w:r>
        <w:rPr>
          <w:rFonts w:hint="eastAsia" w:ascii="宋体" w:hAnsi="宋体"/>
          <w:bCs/>
          <w:color w:val="auto"/>
          <w:sz w:val="24"/>
          <w:szCs w:val="24"/>
          <w:highlight w:val="none"/>
        </w:rPr>
        <w:t xml:space="preserve">第二十条 争议解决方式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20.2如因乙方违约，导致甲方起诉的，甲方由此产生的诉讼费用、律师费用、差旅费用等，均由乙方承担。</w:t>
      </w:r>
      <w:r/>
    </w:p>
    <w:p>
      <w:pPr>
        <w:ind w:firstLine="54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第二十一条 通知与送达</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甲乙双方因履行本合同需要向对方发送通知、文件、资料的，均以下列联系信息确定内容进行：</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.1.1</w:t>
      </w:r>
      <w:r>
        <w:rPr>
          <w:rFonts w:hint="eastAsia" w:ascii="宋体" w:hAnsi="宋体" w:cs="宋体"/>
          <w:bCs/>
          <w:color w:val="auto"/>
          <w:sz w:val="24"/>
          <w:szCs w:val="24"/>
          <w:highlight w:val="none"/>
        </w:rPr>
        <w:t xml:space="preserve">甲方联系信息：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.1.2</w:t>
      </w:r>
      <w:r>
        <w:rPr>
          <w:rFonts w:hint="eastAsia" w:ascii="宋体" w:hAnsi="宋体" w:cs="宋体"/>
          <w:bCs/>
          <w:color w:val="auto"/>
          <w:sz w:val="24"/>
          <w:szCs w:val="24"/>
          <w:highlight w:val="none"/>
        </w:rPr>
        <w:t xml:space="preserve">乙方联系信息：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双方同意前述联系信息作为解决争议时接受人民法院诉讼文书的送达地址和联系方式。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任何一方改变前述联系信息的，应在发生变更后的3天内告知对方并做好通知到达对方前可能存在的邮件的接收。如未通知的，视为没有变更。</w:t>
      </w:r>
      <w:r/>
    </w:p>
    <w:p>
      <w:pPr>
        <w:ind w:firstLine="482"/>
        <w:spacing w:line="440" w:lineRule="exact"/>
        <w:rPr>
          <w:color w:val="auto"/>
          <w:sz w:val="24"/>
          <w:szCs w:val="24"/>
          <w:highlight w:val="none"/>
        </w:rPr>
      </w:pPr>
      <w:r>
        <w:rPr>
          <w:rFonts w:hint="eastAsia" w:ascii="宋体" w:hAnsi="宋体"/>
          <w:bCs/>
          <w:color w:val="auto"/>
          <w:sz w:val="24"/>
          <w:szCs w:val="24"/>
          <w:highlight w:val="none"/>
        </w:rPr>
        <w:t xml:space="preserve">第二十二条 </w:t>
      </w:r>
      <w:r>
        <w:rPr>
          <w:rFonts w:hint="eastAsia" w:ascii="宋体" w:hAnsi="宋体"/>
          <w:color w:val="auto"/>
          <w:sz w:val="24"/>
          <w:szCs w:val="24"/>
          <w:highlight w:val="none"/>
        </w:rPr>
        <w:t xml:space="preserve">合同生效及其他</w:t>
      </w:r>
      <w:r/>
    </w:p>
    <w:p>
      <w:pPr>
        <w:ind w:firstLine="559"/>
        <w:spacing w:line="440" w:lineRule="exact"/>
        <w:rPr>
          <w:color w:val="auto"/>
          <w:sz w:val="24"/>
          <w:szCs w:val="24"/>
          <w:highlight w:val="none"/>
        </w:rPr>
      </w:pPr>
      <w:r>
        <w:rPr>
          <w:rFonts w:hint="eastAsia" w:ascii="宋体" w:hAnsi="宋体"/>
          <w:color w:val="auto"/>
          <w:sz w:val="24"/>
          <w:szCs w:val="24"/>
          <w:highlight w:val="none"/>
        </w:rPr>
        <w:t xml:space="preserve">22.1合同在双方加盖公章或法定代表人或授权代表签字后生效。</w:t>
      </w:r>
      <w:r/>
    </w:p>
    <w:p>
      <w:pPr>
        <w:ind w:firstLine="559"/>
        <w:spacing w:line="440" w:lineRule="exact"/>
        <w:rPr>
          <w:color w:val="auto"/>
          <w:sz w:val="24"/>
          <w:szCs w:val="24"/>
          <w:highlight w:val="none"/>
        </w:rPr>
      </w:pPr>
      <w:r>
        <w:rPr>
          <w:rFonts w:hint="eastAsia" w:ascii="宋体" w:hAnsi="宋体"/>
          <w:color w:val="auto"/>
          <w:sz w:val="24"/>
          <w:szCs w:val="24"/>
          <w:highlight w:val="none"/>
        </w:rPr>
        <w:t xml:space="preserve">22.2本合同一式四份，以简体中文书写，甲方、乙方、交易中心、代理机构各执一份。</w:t>
      </w:r>
      <w:r/>
    </w:p>
    <w:p>
      <w:pPr>
        <w:ind w:firstLine="559"/>
        <w:spacing w:after="380" w:line="440" w:lineRule="exact"/>
        <w:rPr>
          <w:color w:val="auto"/>
          <w:sz w:val="24"/>
          <w:szCs w:val="24"/>
          <w:highlight w:val="none"/>
        </w:rPr>
      </w:pPr>
      <w:r>
        <w:rPr>
          <w:rFonts w:hint="eastAsia" w:ascii="宋体" w:hAnsi="宋体"/>
          <w:color w:val="auto"/>
          <w:sz w:val="24"/>
          <w:szCs w:val="24"/>
          <w:highlight w:val="none"/>
        </w:rPr>
        <w:t xml:space="preserve">22.3.本合同应按照中华人民共和国的现行法律进行解释。</w:t>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甲方（公章）：                         乙方（公章）：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法定（授权）代表人（签字）：             法定（授权）代表人（签字）：</w:t>
      </w:r>
      <w:r/>
    </w:p>
    <w:p>
      <w:pPr>
        <w:ind w:firstLine="1680"/>
        <w:spacing w:line="420" w:lineRule="exact"/>
        <w:rPr>
          <w:rFonts w:ascii="宋体" w:hAnsi="宋体"/>
          <w:color w:val="auto"/>
          <w:sz w:val="24"/>
          <w:highlight w:val="none"/>
        </w:rPr>
      </w:pPr>
      <w:r>
        <w:rPr>
          <w:rFonts w:hint="eastAsia" w:ascii="宋体" w:hAnsi="宋体"/>
          <w:color w:val="auto"/>
          <w:sz w:val="24"/>
          <w:szCs w:val="24"/>
          <w:highlight w:val="none"/>
        </w:rPr>
        <w:t xml:space="preserve">年     月     日                       年     月     日</w:t>
      </w:r>
      <w:r/>
    </w:p>
    <w:p>
      <w:pPr>
        <w:pStyle w:val="653"/>
        <w:rPr>
          <w:b w:val="0"/>
          <w:color w:val="auto"/>
          <w:highlight w:val="none"/>
        </w:rPr>
      </w:pPr>
      <w:r>
        <w:rPr>
          <w:b w:val="0"/>
          <w:color w:val="auto"/>
          <w:highlight w:val="none"/>
        </w:rPr>
        <w:br w:type="page" w:clear="all"/>
      </w:r>
      <w:bookmarkStart w:id="75" w:name="_Toc187920257"/>
      <w:r/>
      <w:bookmarkStart w:id="76" w:name="_Toc315875326"/>
      <w:r/>
      <w:bookmarkStart w:id="77" w:name="_Toc315868063"/>
      <w:r/>
      <w:bookmarkStart w:id="78" w:name="_Toc158691777"/>
      <w:r>
        <w:rPr>
          <w:b w:val="0"/>
          <w:color w:val="auto"/>
          <w:highlight w:val="none"/>
        </w:rPr>
        <w:t xml:space="preserve">第</w:t>
      </w:r>
      <w:r>
        <w:rPr>
          <w:rFonts w:hint="eastAsia"/>
          <w:b w:val="0"/>
          <w:color w:val="auto"/>
          <w:highlight w:val="none"/>
        </w:rPr>
        <w:t xml:space="preserve">七</w:t>
      </w:r>
      <w:r>
        <w:rPr>
          <w:b w:val="0"/>
          <w:color w:val="auto"/>
          <w:highlight w:val="none"/>
        </w:rPr>
        <w:t xml:space="preserve">章  投标文件组成与格式</w:t>
      </w:r>
      <w:bookmarkEnd w:id="75"/>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t xml:space="preserve">封面：</w:t>
      </w:r>
      <w:r/>
    </w:p>
    <w:p>
      <w:pPr>
        <w:jc w:val="center"/>
        <w:rPr>
          <w:rFonts w:ascii="宋体" w:hAnsi="宋体"/>
          <w:color w:val="auto"/>
          <w:sz w:val="72"/>
          <w:szCs w:val="72"/>
          <w:highlight w:val="none"/>
        </w:rPr>
      </w:pPr>
      <w:r>
        <w:rPr>
          <w:rFonts w:ascii="宋体" w:hAnsi="宋体"/>
          <w:color w:val="auto"/>
          <w:sz w:val="72"/>
          <w:szCs w:val="72"/>
          <w:highlight w:val="none"/>
        </w:rPr>
      </w:r>
      <w:r/>
    </w:p>
    <w:p>
      <w:pPr>
        <w:jc w:val="center"/>
        <w:rPr>
          <w:rFonts w:ascii="宋体" w:hAnsi="宋体"/>
          <w:color w:val="auto"/>
          <w:sz w:val="72"/>
          <w:szCs w:val="72"/>
          <w:highlight w:val="none"/>
        </w:rPr>
      </w:pPr>
      <w:r>
        <w:rPr>
          <w:rFonts w:ascii="宋体" w:hAnsi="宋体"/>
          <w:color w:val="auto"/>
          <w:sz w:val="72"/>
          <w:szCs w:val="72"/>
          <w:highlight w:val="none"/>
        </w:rPr>
      </w:r>
      <w:r/>
    </w:p>
    <w:p>
      <w:pPr>
        <w:jc w:val="center"/>
        <w:rPr>
          <w:rFonts w:ascii="宋体" w:hAnsi="宋体"/>
          <w:color w:val="auto"/>
          <w:sz w:val="72"/>
          <w:szCs w:val="72"/>
          <w:highlight w:val="none"/>
        </w:rPr>
      </w:pPr>
      <w:r>
        <w:rPr>
          <w:rFonts w:ascii="宋体" w:hAnsi="宋体"/>
          <w:color w:val="auto"/>
          <w:sz w:val="72"/>
          <w:szCs w:val="72"/>
          <w:highlight w:val="none"/>
        </w:rPr>
        <w:t xml:space="preserve">投   标   文   件</w:t>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rPr>
          <w:rFonts w:ascii="宋体" w:hAnsi="宋体"/>
          <w:color w:val="auto"/>
          <w:sz w:val="36"/>
          <w:szCs w:val="36"/>
          <w:highlight w:val="none"/>
        </w:rPr>
      </w:pPr>
      <w:r>
        <w:rPr>
          <w:rFonts w:ascii="宋体" w:hAnsi="宋体"/>
          <w:color w:val="auto"/>
          <w:sz w:val="36"/>
          <w:szCs w:val="36"/>
          <w:highlight w:val="none"/>
        </w:rPr>
        <w:t xml:space="preserve">项目名称：</w:t>
      </w:r>
      <w:r>
        <w:rPr>
          <w:rFonts w:hint="eastAsia" w:ascii="宋体" w:hAnsi="宋体"/>
          <w:color w:val="auto"/>
          <w:spacing w:val="-12"/>
          <w:sz w:val="36"/>
          <w:szCs w:val="36"/>
          <w:highlight w:val="none"/>
        </w:rPr>
        <w:t xml:space="preserve">正电子发射及X射线计算机断层成像系统（PET/CT)</w:t>
      </w:r>
      <w:r/>
    </w:p>
    <w:p>
      <w:pPr>
        <w:pStyle w:val="672"/>
        <w:ind w:firstLine="2803"/>
        <w:jc w:val="center"/>
        <w:rPr>
          <w:rFonts w:ascii="宋体" w:hAnsi="宋体" w:eastAsia="宋体"/>
          <w:color w:val="auto"/>
          <w:highlight w:val="none"/>
        </w:rPr>
      </w:pPr>
      <w:r>
        <w:rPr>
          <w:rFonts w:ascii="宋体" w:hAnsi="宋体" w:eastAsia="宋体"/>
          <w:color w:val="auto"/>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项目编号：</w:t>
      </w:r>
      <w:r>
        <w:rPr>
          <w:rFonts w:hint="eastAsia" w:ascii="宋体" w:hAnsi="宋体"/>
          <w:color w:val="auto"/>
          <w:sz w:val="36"/>
          <w:szCs w:val="36"/>
          <w:highlight w:val="none"/>
          <w:lang w:eastAsia="zh-CN"/>
        </w:rPr>
        <w:t xml:space="preserve">JSZC-320581-SZWK-G2026-0065</w:t>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ind w:firstLine="1988"/>
        <w:rPr>
          <w:rFonts w:ascii="宋体" w:hAnsi="宋体"/>
          <w:color w:val="auto"/>
          <w:sz w:val="36"/>
          <w:szCs w:val="36"/>
          <w:highlight w:val="none"/>
        </w:rPr>
      </w:pPr>
      <w:r>
        <w:rPr>
          <w:rFonts w:ascii="宋体" w:hAnsi="宋体"/>
          <w:color w:val="auto"/>
          <w:sz w:val="36"/>
          <w:szCs w:val="36"/>
          <w:highlight w:val="none"/>
        </w:rPr>
      </w:r>
      <w:r/>
    </w:p>
    <w:p>
      <w:pPr>
        <w:ind w:firstLine="1988"/>
        <w:rPr>
          <w:rFonts w:ascii="宋体" w:hAnsi="宋体"/>
          <w:color w:val="auto"/>
          <w:sz w:val="36"/>
          <w:szCs w:val="36"/>
          <w:highlight w:val="none"/>
        </w:rPr>
      </w:pPr>
      <w:r>
        <w:rPr>
          <w:rFonts w:ascii="宋体" w:hAnsi="宋体"/>
          <w:color w:val="auto"/>
          <w:sz w:val="36"/>
          <w:szCs w:val="36"/>
          <w:highlight w:val="none"/>
        </w:rPr>
        <w:t xml:space="preserve">投 标 人：</w:t>
      </w:r>
      <w:r/>
    </w:p>
    <w:p>
      <w:pPr>
        <w:ind w:firstLine="1988"/>
        <w:rPr>
          <w:rFonts w:ascii="宋体" w:hAnsi="宋体"/>
          <w:color w:val="auto"/>
          <w:sz w:val="36"/>
          <w:szCs w:val="36"/>
          <w:highlight w:val="none"/>
        </w:rPr>
      </w:pPr>
      <w:r>
        <w:rPr>
          <w:rFonts w:ascii="宋体" w:hAnsi="宋体"/>
          <w:color w:val="auto"/>
          <w:sz w:val="36"/>
          <w:szCs w:val="36"/>
          <w:highlight w:val="none"/>
        </w:rPr>
        <w:t xml:space="preserve">日期：</w:t>
      </w:r>
      <w:r>
        <w:rPr>
          <w:rFonts w:hint="eastAsia" w:ascii="宋体" w:hAnsi="宋体"/>
          <w:color w:val="auto"/>
          <w:sz w:val="36"/>
          <w:szCs w:val="36"/>
          <w:highlight w:val="none"/>
        </w:rPr>
        <w:t xml:space="preserve">二〇二</w:t>
      </w:r>
      <w:r>
        <w:rPr>
          <w:rFonts w:hint="eastAsia" w:ascii="宋体" w:hAnsi="宋体"/>
          <w:color w:val="auto"/>
          <w:sz w:val="36"/>
          <w:szCs w:val="36"/>
          <w:highlight w:val="none"/>
          <w:lang w:val="en-US" w:eastAsia="zh-CN"/>
        </w:rPr>
        <w:t xml:space="preserve">六</w:t>
      </w:r>
      <w:r>
        <w:rPr>
          <w:rFonts w:ascii="宋体" w:hAnsi="宋体"/>
          <w:color w:val="auto"/>
          <w:sz w:val="36"/>
          <w:szCs w:val="36"/>
          <w:highlight w:val="none"/>
        </w:rPr>
        <w:t xml:space="preserve">年月     日</w:t>
      </w:r>
      <w:r/>
    </w:p>
    <w:p>
      <w:pPr>
        <w:rPr>
          <w:rFonts w:ascii="宋体" w:hAnsi="宋体"/>
          <w:color w:val="auto"/>
          <w:sz w:val="36"/>
          <w:szCs w:val="36"/>
          <w:highlight w:val="none"/>
        </w:rPr>
      </w:pPr>
      <w:r>
        <w:rPr>
          <w:rFonts w:ascii="宋体" w:hAnsi="宋体"/>
          <w:color w:val="auto"/>
          <w:sz w:val="36"/>
          <w:szCs w:val="36"/>
          <w:highlight w:val="none"/>
        </w:rPr>
      </w:r>
      <w:r/>
    </w:p>
    <w:p>
      <w:pPr>
        <w:jc w:val="left"/>
        <w:widowControl/>
        <w:rPr>
          <w:rFonts w:ascii="宋体" w:hAnsi="宋体"/>
          <w:color w:val="auto"/>
          <w:sz w:val="48"/>
          <w:szCs w:val="48"/>
          <w:highlight w:val="none"/>
        </w:rPr>
      </w:pPr>
      <w:r>
        <w:rPr>
          <w:rFonts w:ascii="宋体" w:hAnsi="宋体"/>
          <w:color w:val="auto"/>
          <w:sz w:val="48"/>
          <w:szCs w:val="48"/>
          <w:highlight w:val="none"/>
        </w:rPr>
        <w:br w:type="page" w:clear="all"/>
      </w:r>
      <w:r/>
    </w:p>
    <w:p>
      <w:pPr>
        <w:jc w:val="center"/>
        <w:rPr>
          <w:rFonts w:ascii="宋体" w:hAnsi="宋体"/>
          <w:color w:val="auto"/>
          <w:sz w:val="48"/>
          <w:szCs w:val="48"/>
          <w:highlight w:val="none"/>
        </w:rPr>
      </w:pPr>
      <w:r>
        <w:rPr>
          <w:rFonts w:ascii="宋体" w:hAnsi="宋体"/>
          <w:color w:val="auto"/>
          <w:sz w:val="48"/>
          <w:szCs w:val="48"/>
          <w:highlight w:val="none"/>
        </w:rPr>
      </w:r>
      <w:r/>
    </w:p>
    <w:p>
      <w:pPr>
        <w:jc w:val="center"/>
        <w:rPr>
          <w:rFonts w:ascii="宋体" w:hAnsi="宋体"/>
          <w:bCs/>
          <w:caps/>
          <w:color w:val="auto"/>
          <w:szCs w:val="24"/>
          <w:highlight w:val="none"/>
        </w:rPr>
      </w:pPr>
      <w:r>
        <w:rPr>
          <w:rFonts w:hint="eastAsia" w:ascii="宋体" w:hAnsi="宋体"/>
          <w:color w:val="auto"/>
          <w:sz w:val="48"/>
          <w:szCs w:val="48"/>
          <w:highlight w:val="none"/>
        </w:rPr>
        <w:t xml:space="preserve">目   录</w:t>
      </w:r>
      <w:r>
        <w:rPr>
          <w:rFonts w:ascii="宋体" w:hAnsi="宋体"/>
          <w:color w:val="auto"/>
          <w:highlight w:val="none"/>
        </w:rPr>
        <w:fldChar w:fldCharType="begin"/>
      </w:r>
      <w:r>
        <w:rPr>
          <w:rFonts w:ascii="宋体" w:hAnsi="宋体"/>
          <w:color w:val="auto"/>
          <w:highlight w:val="none"/>
        </w:rPr>
        <w:instrText xml:space="preserve"> TOC \o "1-3" \h \z \u </w:instrText>
      </w:r>
      <w:r>
        <w:rPr>
          <w:rFonts w:ascii="宋体" w:hAnsi="宋体"/>
          <w:color w:val="auto"/>
          <w:highlight w:val="none"/>
        </w:rPr>
        <w:fldChar w:fldCharType="separate"/>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"_Toc511491848" </w:instrText>
      </w:r>
      <w:r>
        <w:rPr>
          <w:color w:val="auto"/>
          <w:highlight w:val="none"/>
        </w:rPr>
        <w:fldChar w:fldCharType="separate"/>
      </w:r>
      <w:r>
        <w:rPr>
          <w:rFonts w:hint="eastAsia" w:ascii="宋体" w:hAnsi="宋体"/>
          <w:bCs w:val="0"/>
          <w:smallCaps w:val="0"/>
          <w:color w:val="auto"/>
          <w:highlight w:val="none"/>
        </w:rPr>
        <w:t xml:space="preserve">一、投标函</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"_Toc511491849" </w:instrText>
      </w:r>
      <w:r>
        <w:rPr>
          <w:color w:val="auto"/>
          <w:highlight w:val="none"/>
        </w:rPr>
        <w:fldChar w:fldCharType="separate"/>
      </w:r>
      <w:r>
        <w:rPr>
          <w:rFonts w:hint="eastAsia" w:ascii="宋体" w:hAnsi="宋体"/>
          <w:bCs w:val="0"/>
          <w:smallCaps w:val="0"/>
          <w:color w:val="auto"/>
          <w:highlight w:val="none"/>
        </w:rPr>
        <w:t xml:space="preserve">二、开标一览表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"_Toc511491850" </w:instrText>
      </w:r>
      <w:r>
        <w:rPr>
          <w:color w:val="auto"/>
          <w:highlight w:val="none"/>
        </w:rPr>
        <w:fldChar w:fldCharType="separate"/>
      </w:r>
      <w:r>
        <w:rPr>
          <w:rFonts w:hint="eastAsia" w:ascii="宋体" w:hAnsi="宋体"/>
          <w:bCs w:val="0"/>
          <w:smallCaps w:val="0"/>
          <w:color w:val="auto"/>
          <w:highlight w:val="none"/>
        </w:rPr>
        <w:t xml:space="preserve">三、报价明细表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"_Toc511491851" </w:instrText>
      </w:r>
      <w:r>
        <w:rPr>
          <w:color w:val="auto"/>
          <w:highlight w:val="none"/>
        </w:rPr>
        <w:fldChar w:fldCharType="separate"/>
      </w:r>
      <w:r>
        <w:rPr>
          <w:rFonts w:hint="eastAsia" w:ascii="宋体" w:hAnsi="宋体"/>
          <w:bCs w:val="0"/>
          <w:smallCaps w:val="0"/>
          <w:color w:val="auto"/>
          <w:highlight w:val="none"/>
        </w:rPr>
        <w:t xml:space="preserve">四、技术参数响应及偏离表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"_Toc511491852" </w:instrText>
      </w:r>
      <w:r>
        <w:rPr>
          <w:color w:val="auto"/>
          <w:highlight w:val="none"/>
        </w:rPr>
        <w:fldChar w:fldCharType="separate"/>
      </w:r>
      <w:r>
        <w:rPr>
          <w:rFonts w:hint="eastAsia" w:ascii="宋体" w:hAnsi="宋体"/>
          <w:bCs w:val="0"/>
          <w:smallCaps w:val="0"/>
          <w:color w:val="auto"/>
          <w:highlight w:val="none"/>
        </w:rPr>
        <w:t xml:space="preserve">五、投标设备详细配置表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"_Toc511491853" </w:instrText>
      </w:r>
      <w:r>
        <w:rPr>
          <w:color w:val="auto"/>
          <w:highlight w:val="none"/>
        </w:rPr>
        <w:fldChar w:fldCharType="separate"/>
      </w:r>
      <w:r>
        <w:rPr>
          <w:rFonts w:hint="eastAsia" w:ascii="宋体" w:hAnsi="宋体"/>
          <w:bCs w:val="0"/>
          <w:smallCaps w:val="0"/>
          <w:color w:val="auto"/>
          <w:highlight w:val="none"/>
        </w:rPr>
        <w:t xml:space="preserve">六、投标设备综合性能及规格说明</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"_Toc511491856" </w:instrText>
      </w:r>
      <w:r>
        <w:rPr>
          <w:color w:val="auto"/>
          <w:highlight w:val="none"/>
        </w:rPr>
        <w:fldChar w:fldCharType="separate"/>
      </w:r>
      <w:r>
        <w:rPr>
          <w:rFonts w:hint="eastAsia" w:ascii="宋体" w:hAnsi="宋体"/>
          <w:bCs w:val="0"/>
          <w:smallCaps w:val="0"/>
          <w:color w:val="auto"/>
          <w:highlight w:val="none"/>
        </w:rPr>
        <w:t xml:space="preserve">七、质量保证及售后服务承诺</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八、商务条件响应及偏离表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九、项目业绩一览表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十、设备的安装、调试、验收方案</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"_Toc511491859" </w:instrText>
      </w:r>
      <w:r>
        <w:rPr>
          <w:color w:val="auto"/>
          <w:highlight w:val="none"/>
        </w:rPr>
        <w:fldChar w:fldCharType="separate"/>
      </w:r>
      <w:r>
        <w:rPr>
          <w:rFonts w:hint="eastAsia" w:ascii="宋体" w:hAnsi="宋体"/>
          <w:bCs w:val="0"/>
          <w:smallCaps w:val="0"/>
          <w:color w:val="auto"/>
          <w:highlight w:val="none"/>
        </w:rPr>
        <w:t xml:space="preserve">十一、资格证明文件</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881"/>
        <w:ind w:left="525"/>
        <w:rPr>
          <w:rFonts w:ascii="宋体" w:hAnsi="宋体"/>
          <w:bCs w:val="0"/>
          <w:smallCaps w:val="0"/>
          <w:color w:val="auto"/>
          <w:highlight w:val="none"/>
        </w:rPr>
      </w:pPr>
      <w:r>
        <w:rPr>
          <w:rFonts w:ascii="宋体" w:hAnsi="宋体"/>
          <w:color w:val="auto"/>
          <w:sz w:val="28"/>
          <w:szCs w:val="36"/>
          <w:highlight w:val="none"/>
        </w:rPr>
        <w:fldChar w:fldCharType="end"/>
      </w:r>
      <w:r>
        <w:rPr>
          <w:rFonts w:hint="eastAsia" w:ascii="宋体" w:hAnsi="宋体"/>
          <w:bCs w:val="0"/>
          <w:smallCaps w:val="0"/>
          <w:color w:val="auto"/>
          <w:highlight w:val="none"/>
        </w:rPr>
        <w:t xml:space="preserve">附件一法定代表人授权书</w:t>
      </w:r>
      <w:r/>
    </w:p>
    <w:p>
      <w:pPr>
        <w:pStyle w:val="881"/>
        <w:ind w:left="525"/>
        <w:rPr>
          <w:rFonts w:ascii="宋体" w:hAnsi="宋体"/>
          <w:bCs w:val="0"/>
          <w:smallCaps w:val="0"/>
          <w:color w:val="auto"/>
          <w:highlight w:val="none"/>
        </w:rPr>
      </w:pPr>
      <w:r>
        <w:rPr>
          <w:rFonts w:hint="eastAsia" w:ascii="宋体" w:hAnsi="宋体"/>
          <w:bCs w:val="0"/>
          <w:smallCaps w:val="0"/>
          <w:color w:val="auto"/>
          <w:highlight w:val="none"/>
        </w:rPr>
        <w:t xml:space="preserve">附件二投标人资格声明</w:t>
      </w:r>
      <w:r/>
    </w:p>
    <w:p>
      <w:pPr>
        <w:pStyle w:val="881"/>
        <w:ind w:left="525"/>
        <w:rPr>
          <w:rFonts w:ascii="宋体" w:hAnsi="宋体"/>
          <w:bCs w:val="0"/>
          <w:smallCaps w:val="0"/>
          <w:color w:val="auto"/>
          <w:highlight w:val="none"/>
        </w:rPr>
      </w:pPr>
      <w:r>
        <w:rPr>
          <w:rFonts w:hint="eastAsia" w:ascii="宋体" w:hAnsi="宋体"/>
          <w:bCs w:val="0"/>
          <w:smallCaps w:val="0"/>
          <w:color w:val="auto"/>
          <w:highlight w:val="none"/>
        </w:rPr>
        <w:t xml:space="preserve">附件三投标保证承诺书</w:t>
      </w:r>
      <w:r/>
    </w:p>
    <w:p>
      <w:pPr>
        <w:pStyle w:val="881"/>
        <w:ind w:left="525"/>
        <w:rPr>
          <w:rFonts w:ascii="宋体" w:hAnsi="宋体"/>
          <w:bCs w:val="0"/>
          <w:smallCaps w:val="0"/>
          <w:color w:val="auto"/>
          <w:highlight w:val="none"/>
        </w:rPr>
      </w:pPr>
      <w:r>
        <w:rPr>
          <w:rFonts w:hint="eastAsia" w:ascii="宋体" w:hAnsi="宋体"/>
          <w:bCs w:val="0"/>
          <w:smallCaps w:val="0"/>
          <w:color w:val="auto"/>
          <w:highlight w:val="none"/>
        </w:rPr>
        <w:t xml:space="preserve">附件四中小企业声明函</w:t>
      </w:r>
      <w:r/>
    </w:p>
    <w:p>
      <w:pPr>
        <w:pStyle w:val="881"/>
        <w:ind w:left="525"/>
        <w:rPr>
          <w:rFonts w:hint="eastAsia" w:ascii="宋体" w:hAnsi="宋体"/>
          <w:color w:val="auto"/>
          <w:highlight w:val="none"/>
          <w:lang w:val="zh-CN"/>
        </w:rPr>
      </w:pPr>
      <w:r>
        <w:rPr>
          <w:rFonts w:hint="eastAsia" w:ascii="宋体" w:hAnsi="宋体"/>
          <w:color w:val="auto"/>
          <w:highlight w:val="none"/>
        </w:rPr>
        <w:t xml:space="preserve">附件五</w:t>
      </w:r>
      <w:r>
        <w:rPr>
          <w:rFonts w:hint="eastAsia" w:ascii="宋体" w:hAnsi="宋体"/>
          <w:color w:val="auto"/>
          <w:highlight w:val="none"/>
          <w:lang w:val="zh-CN"/>
        </w:rPr>
        <w:t xml:space="preserve">残疾人福利性单位声明函</w:t>
      </w:r>
      <w:r/>
    </w:p>
    <w:p>
      <w:pPr>
        <w:pStyle w:val="881"/>
        <w:ind w:left="525"/>
        <w:rPr>
          <w:rFonts w:hint="eastAsia" w:ascii="宋体" w:hAnsi="宋体"/>
          <w:bCs w:val="0"/>
          <w:smallCaps w:val="0"/>
          <w:color w:val="auto"/>
          <w:highlight w:val="none"/>
        </w:rPr>
      </w:pPr>
      <w:r>
        <w:rPr>
          <w:rFonts w:hint="eastAsia" w:ascii="宋体" w:hAnsi="宋体"/>
          <w:bCs w:val="0"/>
          <w:smallCaps w:val="0"/>
          <w:color w:val="auto"/>
          <w:highlight w:val="none"/>
        </w:rPr>
        <w:t xml:space="preserve">附件</w:t>
      </w:r>
      <w:r>
        <w:rPr>
          <w:rFonts w:hint="eastAsia" w:ascii="宋体" w:hAnsi="宋体"/>
          <w:bCs w:val="0"/>
          <w:smallCaps w:val="0"/>
          <w:color w:val="auto"/>
          <w:highlight w:val="none"/>
          <w:lang w:val="en-US" w:eastAsia="zh-CN"/>
        </w:rPr>
        <w:t xml:space="preserve">六</w:t>
      </w:r>
      <w:r>
        <w:rPr>
          <w:rFonts w:hint="eastAsia" w:ascii="宋体" w:hAnsi="宋体"/>
          <w:bCs w:val="0"/>
          <w:smallCaps w:val="0"/>
          <w:color w:val="auto"/>
          <w:highlight w:val="none"/>
        </w:rPr>
        <w:t xml:space="preserve">关于符合本国产品标准的声明函</w:t>
      </w:r>
      <w:r>
        <w:rPr>
          <w:rFonts w:hint="eastAsia" w:ascii="宋体" w:hAnsi="宋体"/>
          <w:bCs w:val="0"/>
          <w:smallCaps w:val="0"/>
          <w:color w:val="auto"/>
          <w:highlight w:val="none"/>
          <w:lang w:eastAsia="zh-CN"/>
        </w:rPr>
        <w:t xml:space="preserve">（</w:t>
      </w:r>
      <w:r>
        <w:rPr>
          <w:rFonts w:hint="eastAsia" w:ascii="宋体" w:hAnsi="宋体"/>
          <w:bCs w:val="0"/>
          <w:smallCaps w:val="0"/>
          <w:color w:val="auto"/>
          <w:highlight w:val="none"/>
          <w:lang w:val="en-US" w:eastAsia="zh-CN"/>
        </w:rPr>
        <w:t xml:space="preserve">如符合）</w:t>
      </w:r>
      <w:r/>
    </w:p>
    <w:p>
      <w:pPr>
        <w:rPr>
          <w:color w:val="auto"/>
          <w:highlight w:val="none"/>
        </w:rPr>
      </w:pPr>
      <w:r>
        <w:rPr>
          <w:color w:val="auto"/>
          <w:highlight w:val="none"/>
        </w:rPr>
      </w:r>
      <w:r/>
    </w:p>
    <w:p>
      <w:pPr>
        <w:jc w:val="center"/>
        <w:rPr>
          <w:rFonts w:ascii="宋体" w:hAnsi="宋体"/>
          <w:color w:val="auto"/>
          <w:sz w:val="28"/>
          <w:szCs w:val="36"/>
          <w:highlight w:val="none"/>
        </w:rPr>
      </w:pPr>
      <w:r>
        <w:rPr>
          <w:rFonts w:ascii="宋体" w:hAnsi="宋体"/>
          <w:color w:val="auto"/>
          <w:sz w:val="28"/>
          <w:szCs w:val="36"/>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79" w:name="_Toc187920258"/>
      <w:r/>
      <w:bookmarkStart w:id="80" w:name="_Toc511680880"/>
      <w:r>
        <w:rPr>
          <w:rFonts w:ascii="宋体" w:hAnsi="宋体" w:eastAsia="宋体"/>
          <w:b w:val="0"/>
          <w:color w:val="auto"/>
          <w:highlight w:val="none"/>
        </w:rPr>
        <w:t xml:space="preserve">一、投标函</w:t>
      </w:r>
      <w:bookmarkEnd w:id="79"/>
      <w:r/>
      <w:bookmarkEnd w:id="80"/>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致：苏州市卫康招投标咨询服务有限公司</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根据贵方的</w:t>
      </w:r>
      <w:r>
        <w:rPr>
          <w:rFonts w:hint="eastAsia" w:ascii="宋体" w:hAnsi="宋体"/>
          <w:color w:val="auto"/>
          <w:sz w:val="24"/>
          <w:szCs w:val="24"/>
          <w:highlight w:val="none"/>
          <w:u w:val="single"/>
        </w:rPr>
        <w:t xml:space="preserve">   正电子发射及X射线计算机断层成像系统（PET/CT)     </w:t>
      </w:r>
      <w:r>
        <w:rPr>
          <w:rFonts w:ascii="宋体" w:hAnsi="宋体"/>
          <w:color w:val="auto"/>
          <w:sz w:val="24"/>
          <w:szCs w:val="24"/>
          <w:highlight w:val="none"/>
        </w:rPr>
        <w:t xml:space="preserve">项目招标文件（项目编号：</w:t>
      </w:r>
      <w:r>
        <w:rPr>
          <w:rFonts w:hint="eastAsia" w:ascii="宋体" w:hAnsi="宋体"/>
          <w:color w:val="auto"/>
          <w:sz w:val="24"/>
          <w:highlight w:val="none"/>
          <w:u w:val="single"/>
          <w:lang w:eastAsia="zh-CN"/>
        </w:rPr>
        <w:t xml:space="preserve">JSZC-320581-SZWK-G2026-0065</w:t>
      </w:r>
      <w:r>
        <w:rPr>
          <w:rFonts w:hint="eastAsia" w:ascii="宋体" w:hAnsi="宋体"/>
          <w:color w:val="auto"/>
          <w:sz w:val="24"/>
          <w:highlight w:val="none"/>
          <w:u w:val="single"/>
        </w:rPr>
        <w:t xml:space="preserve">号</w:t>
      </w:r>
      <w:r>
        <w:rPr>
          <w:rFonts w:ascii="宋体" w:hAnsi="宋体"/>
          <w:color w:val="auto"/>
          <w:sz w:val="24"/>
          <w:szCs w:val="24"/>
          <w:highlight w:val="none"/>
        </w:rPr>
        <w:t xml:space="preserve">），投标人</w:t>
      </w:r>
      <w:r>
        <w:rPr>
          <w:rFonts w:ascii="宋体" w:hAnsi="宋体"/>
          <w:color w:val="auto"/>
          <w:sz w:val="24"/>
          <w:szCs w:val="24"/>
          <w:highlight w:val="none"/>
          <w:u w:val="single"/>
        </w:rPr>
        <w:t xml:space="preserve">  （投标人全称）   </w:t>
      </w:r>
      <w:r>
        <w:rPr>
          <w:rFonts w:ascii="宋体" w:hAnsi="宋体"/>
          <w:color w:val="auto"/>
          <w:sz w:val="24"/>
          <w:szCs w:val="24"/>
          <w:highlight w:val="none"/>
        </w:rPr>
        <w:t xml:space="preserve">提交下述文件：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投标函；二、开标一览表；三、</w:t>
      </w:r>
      <w:r>
        <w:rPr>
          <w:rFonts w:hint="eastAsia" w:ascii="宋体" w:hAnsi="宋体"/>
          <w:color w:val="auto"/>
          <w:sz w:val="24"/>
          <w:szCs w:val="24"/>
          <w:highlight w:val="none"/>
        </w:rPr>
        <w:t xml:space="preserve">报价明细表</w:t>
      </w:r>
      <w:r>
        <w:rPr>
          <w:rFonts w:ascii="宋体" w:hAnsi="宋体"/>
          <w:color w:val="auto"/>
          <w:sz w:val="24"/>
          <w:szCs w:val="24"/>
          <w:highlight w:val="none"/>
        </w:rPr>
        <w:t xml:space="preserve">；四、技术参数响应及偏离表；五、</w:t>
      </w:r>
      <w:r>
        <w:rPr>
          <w:rFonts w:hint="eastAsia" w:ascii="宋体" w:hAnsi="宋体"/>
          <w:color w:val="auto"/>
          <w:sz w:val="24"/>
          <w:szCs w:val="24"/>
          <w:highlight w:val="none"/>
        </w:rPr>
        <w:t xml:space="preserve">投标设备详细配置表</w:t>
      </w:r>
      <w:r>
        <w:rPr>
          <w:rFonts w:ascii="宋体" w:hAnsi="宋体"/>
          <w:color w:val="auto"/>
          <w:sz w:val="24"/>
          <w:szCs w:val="24"/>
          <w:highlight w:val="none"/>
        </w:rPr>
        <w:t xml:space="preserve">；六、</w:t>
      </w:r>
      <w:r>
        <w:rPr>
          <w:rFonts w:hint="eastAsia" w:ascii="宋体" w:hAnsi="宋体"/>
          <w:color w:val="auto"/>
          <w:sz w:val="24"/>
          <w:szCs w:val="24"/>
          <w:highlight w:val="none"/>
        </w:rPr>
        <w:t xml:space="preserve">投标设备综合性能及规格说明</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七、质量保证及售后服务承诺；八、商务条件响应及偏离表；九、项目业绩一览表；十、设备的安装、调试；十一、资格证明文件</w:t>
      </w:r>
      <w:r>
        <w:rPr>
          <w:rFonts w:ascii="宋体" w:hAnsi="宋体"/>
          <w:color w:val="auto"/>
          <w:sz w:val="24"/>
          <w:szCs w:val="24"/>
          <w:highlight w:val="none"/>
        </w:rPr>
        <w:t xml:space="preserve">。</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据此函，</w:t>
      </w:r>
      <w:r>
        <w:rPr>
          <w:rFonts w:hint="eastAsia" w:ascii="宋体" w:hAnsi="宋体"/>
          <w:color w:val="auto"/>
          <w:sz w:val="24"/>
          <w:szCs w:val="24"/>
          <w:highlight w:val="none"/>
        </w:rPr>
        <w:t xml:space="preserve">我方</w:t>
      </w:r>
      <w:r>
        <w:rPr>
          <w:rFonts w:ascii="宋体" w:hAnsi="宋体"/>
          <w:color w:val="auto"/>
          <w:sz w:val="24"/>
          <w:szCs w:val="24"/>
          <w:highlight w:val="none"/>
        </w:rPr>
        <w:t xml:space="preserve">宣布同意如下：</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（1）我方已详细审核全部招标文件，包括其有效补充文件等，我们同意放弃对此有不明或误解的权利。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（2）我方完全理解并同意贵方所保留的一切权利。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（3）我们完全理解贵方不一定要接受最低报价的投标或收到的任何投标。</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（5）我方同意投标有效期为自规定的投标截止之日起六十（60）天。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（6）一旦我方中标，我们将根据法律法规和招标文件的规定，严格履行自己的责任和义务。</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（7）与本投标有关的一切正式往来通讯请寄：</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地址：  邮编：</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联系人：电话：传真：</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投标人公章</w:t>
      </w:r>
      <w:r>
        <w:rPr>
          <w:rFonts w:hint="eastAsia" w:ascii="宋体" w:hAnsi="宋体"/>
          <w:color w:val="auto"/>
          <w:sz w:val="24"/>
          <w:szCs w:val="24"/>
          <w:highlight w:val="none"/>
        </w:rPr>
        <w:t xml:space="preserve">（CA签章）</w:t>
      </w:r>
      <w:r>
        <w:rPr>
          <w:rFonts w:ascii="宋体" w:hAnsi="宋体"/>
          <w:color w:val="auto"/>
          <w:sz w:val="24"/>
          <w:szCs w:val="24"/>
          <w:highlight w:val="none"/>
        </w:rPr>
        <w:t xml:space="preserve">：</w:t>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法定代表人或授权代表</w:t>
      </w:r>
      <w:r>
        <w:rPr>
          <w:rFonts w:hint="eastAsia" w:ascii="宋体" w:hAnsi="宋体"/>
          <w:color w:val="auto"/>
          <w:sz w:val="24"/>
          <w:szCs w:val="24"/>
          <w:highlight w:val="none"/>
        </w:rPr>
        <w:t xml:space="preserve">（CA签章）</w:t>
      </w:r>
      <w:r>
        <w:rPr>
          <w:rFonts w:ascii="宋体" w:hAnsi="宋体"/>
          <w:color w:val="auto"/>
          <w:sz w:val="24"/>
          <w:szCs w:val="24"/>
          <w:highlight w:val="none"/>
        </w:rPr>
        <w:t xml:space="preserve">：</w:t>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日期：</w:t>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81" w:name="_Toc472326799"/>
      <w:r/>
      <w:bookmarkStart w:id="82" w:name="_Toc187920259"/>
      <w:r/>
      <w:bookmarkStart w:id="83" w:name="_Toc511680881"/>
      <w:r>
        <w:rPr>
          <w:rFonts w:ascii="宋体" w:hAnsi="宋体" w:eastAsia="宋体"/>
          <w:b w:val="0"/>
          <w:color w:val="auto"/>
          <w:highlight w:val="none"/>
        </w:rPr>
        <w:t xml:space="preserve">二、开标一览表</w:t>
      </w:r>
      <w:bookmarkEnd w:id="81"/>
      <w:r/>
      <w:bookmarkEnd w:id="82"/>
      <w:r/>
      <w:bookmarkEnd w:id="83"/>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项目名称</w:t>
            </w:r>
            <w:r/>
          </w:p>
        </w:tc>
        <w:tc>
          <w:tcPr>
            <w:tcW w:w="6632" w:type="dxa"/>
            <w:vAlign w:val="center"/>
            <w:textDirection w:val="lrTb"/>
            <w:noWrap w:val="false"/>
          </w:tcPr>
          <w:p>
            <w:pPr>
              <w:jc w:val="center"/>
              <w:rPr>
                <w:rFonts w:ascii="宋体" w:hAnsi="宋体"/>
                <w:bCs/>
                <w:color w:val="auto"/>
                <w:sz w:val="28"/>
                <w:szCs w:val="28"/>
                <w:highlight w:val="none"/>
              </w:rPr>
            </w:pPr>
            <w:r>
              <w:rPr>
                <w:rFonts w:hint="eastAsia" w:ascii="宋体" w:hAnsi="宋体"/>
                <w:bCs/>
                <w:color w:val="auto"/>
                <w:sz w:val="28"/>
                <w:szCs w:val="28"/>
                <w:highlight w:val="none"/>
              </w:rPr>
              <w:t xml:space="preserve">正电子发射及X射线计算机断层成像系统（PET/CT)</w:t>
            </w:r>
            <w:r/>
          </w:p>
        </w:tc>
      </w:tr>
      <w:tr>
        <w:trPr>
          <w:trHeight w:val="737"/>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项目编号</w:t>
            </w:r>
            <w:r/>
          </w:p>
        </w:tc>
        <w:tc>
          <w:tcPr>
            <w:tcW w:w="6632" w:type="dxa"/>
            <w:vAlign w:val="center"/>
            <w:textDirection w:val="lrTb"/>
            <w:noWrap w:val="false"/>
          </w:tcPr>
          <w:p>
            <w:pPr>
              <w:jc w:val="center"/>
              <w:rPr>
                <w:rFonts w:ascii="宋体" w:hAnsi="宋体"/>
                <w:bCs/>
                <w:color w:val="auto"/>
                <w:sz w:val="28"/>
                <w:szCs w:val="28"/>
                <w:highlight w:val="none"/>
              </w:rPr>
            </w:pPr>
            <w:r>
              <w:rPr>
                <w:rFonts w:hint="eastAsia" w:ascii="宋体" w:hAnsi="宋体"/>
                <w:bCs/>
                <w:color w:val="auto"/>
                <w:sz w:val="28"/>
                <w:szCs w:val="28"/>
                <w:highlight w:val="none"/>
                <w:lang w:eastAsia="zh-CN"/>
              </w:rPr>
              <w:t xml:space="preserve">JSZC-320581-SZWK-G2026-0065</w:t>
            </w:r>
            <w:r>
              <w:rPr>
                <w:rFonts w:ascii="宋体" w:hAnsi="宋体"/>
                <w:bCs/>
                <w:color w:val="auto"/>
                <w:sz w:val="28"/>
                <w:szCs w:val="28"/>
                <w:highlight w:val="none"/>
              </w:rPr>
              <w:t xml:space="preserve">号</w:t>
            </w:r>
            <w:r/>
          </w:p>
        </w:tc>
      </w:tr>
      <w:tr>
        <w:trPr>
          <w:trHeight w:val="2306"/>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投标总价</w:t>
            </w:r>
            <w:r/>
          </w:p>
        </w:tc>
        <w:tc>
          <w:tcPr>
            <w:tcW w:w="6632" w:type="dxa"/>
            <w:vAlign w:val="center"/>
            <w:textDirection w:val="lrTb"/>
            <w:noWrap w:val="false"/>
          </w:tcPr>
          <w:p>
            <w:pPr>
              <w:rPr>
                <w:rFonts w:ascii="宋体" w:hAnsi="宋体"/>
                <w:color w:val="auto"/>
                <w:sz w:val="28"/>
                <w:szCs w:val="28"/>
                <w:highlight w:val="none"/>
                <w:u w:val="single"/>
              </w:rPr>
            </w:pPr>
            <w:r>
              <w:rPr>
                <w:rFonts w:ascii="宋体" w:hAnsi="宋体"/>
                <w:color w:val="auto"/>
                <w:sz w:val="28"/>
                <w:szCs w:val="28"/>
                <w:highlight w:val="none"/>
              </w:rPr>
              <w:t xml:space="preserve">小写：￥</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t xml:space="preserve">大写：人民币</w:t>
            </w:r>
            <w:r/>
          </w:p>
        </w:tc>
      </w:tr>
    </w:tbl>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注：</w:t>
      </w:r>
      <w:r/>
    </w:p>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1、“投标总价”请保留小数点后两位。</w:t>
      </w:r>
      <w:r/>
    </w:p>
    <w:p>
      <w:pPr>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、投标文件制作工具中手动填写的投标价格应与投标文件开标一览表中的投标总价相一致。</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84" w:name="_Toc321922916"/>
      <w:r/>
      <w:bookmarkStart w:id="85" w:name="_Toc472326800"/>
      <w:r/>
      <w:bookmarkStart w:id="86" w:name="_Toc187920260"/>
      <w:r/>
      <w:bookmarkStart w:id="87" w:name="_Toc511680882"/>
      <w:r>
        <w:rPr>
          <w:rFonts w:hint="eastAsia" w:ascii="宋体" w:hAnsi="宋体" w:eastAsia="宋体"/>
          <w:b w:val="0"/>
          <w:color w:val="auto"/>
          <w:highlight w:val="none"/>
        </w:rPr>
        <w:t xml:space="preserve">三</w:t>
      </w:r>
      <w:r>
        <w:rPr>
          <w:rFonts w:ascii="宋体" w:hAnsi="宋体" w:eastAsia="宋体"/>
          <w:b w:val="0"/>
          <w:color w:val="auto"/>
          <w:highlight w:val="none"/>
        </w:rPr>
        <w:t xml:space="preserve">、</w:t>
      </w:r>
      <w:bookmarkEnd w:id="84"/>
      <w:r>
        <w:rPr>
          <w:rFonts w:hint="eastAsia" w:ascii="宋体" w:hAnsi="宋体" w:eastAsia="宋体"/>
          <w:b w:val="0"/>
          <w:color w:val="auto"/>
          <w:highlight w:val="none"/>
        </w:rPr>
        <w:t xml:space="preserve">报价明细表</w:t>
      </w:r>
      <w:bookmarkEnd w:id="85"/>
      <w:r/>
      <w:bookmarkEnd w:id="86"/>
      <w:r/>
      <w:bookmarkEnd w:id="87"/>
      <w:r/>
      <w:r/>
    </w:p>
    <w:tbl>
      <w:tblPr>
        <w:tblStyle w:val="663"/>
        <w:tblpPr w:horzAnchor="text" w:tblpXSpec="left" w:vertAnchor="text" w:tblpY="1" w:leftFromText="180" w:topFromText="0" w:rightFromText="180" w:bottomFromText="0"/>
        <w:tblW w:w="9222"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242"/>
        <w:gridCol w:w="1276"/>
        <w:gridCol w:w="850"/>
        <w:gridCol w:w="851"/>
        <w:gridCol w:w="1026"/>
        <w:gridCol w:w="992"/>
        <w:gridCol w:w="858"/>
      </w:tblGrid>
      <w:tr>
        <w:trPr>
          <w:cantSplit/>
          <w:trHeight w:val="495"/>
        </w:trPr>
        <w:tc>
          <w:tcPr>
            <w:tcBorders>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设备名称</w:t>
            </w:r>
            <w:r/>
          </w:p>
        </w:tc>
        <w:tc>
          <w:tcPr>
            <w:tcBorders>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生产厂家及品牌</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规格型号</w:t>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单位</w:t>
            </w:r>
            <w:r/>
          </w:p>
        </w:tc>
        <w:tc>
          <w:tcPr>
            <w:tcBorders>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数量</w:t>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单价</w:t>
            </w:r>
            <w:r/>
          </w:p>
          <w:p>
            <w:pPr>
              <w:jc w:val="center"/>
              <w:rPr>
                <w:rFonts w:ascii="宋体" w:hAnsi="宋体"/>
                <w:color w:val="auto"/>
                <w:sz w:val="24"/>
                <w:highlight w:val="none"/>
              </w:rPr>
            </w:pPr>
            <w:r>
              <w:rPr>
                <w:rFonts w:hint="eastAsia" w:ascii="宋体" w:hAnsi="宋体"/>
                <w:color w:val="auto"/>
                <w:sz w:val="24"/>
                <w:highlight w:val="none"/>
              </w:rPr>
              <w:t xml:space="preserve">（元）</w:t>
            </w:r>
            <w:r/>
          </w:p>
        </w:tc>
        <w:tc>
          <w:tcPr>
            <w:tcBorders>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总价（元）</w:t>
            </w:r>
            <w:r/>
          </w:p>
        </w:tc>
        <w:tc>
          <w:tcPr>
            <w:tcBorders>
              <w:left w:val="single" w:color="auto" w:sz="4" w:space="0"/>
              <w:bottom w:val="single" w:color="auto" w:sz="4" w:space="0"/>
            </w:tcBorders>
            <w:tcW w:w="8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cantSplit/>
          <w:trHeight w:val="520"/>
        </w:trPr>
        <w:tc>
          <w:tcPr>
            <w:tcBorders>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0"/>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0"/>
        </w:trPr>
        <w:tc>
          <w:tcPr>
            <w:tcBorders>
              <w:top w:val="single" w:color="auto" w:sz="4" w:space="0"/>
              <w:right w:val="single" w:color="auto" w:sz="4" w:space="0"/>
            </w:tcBorders>
            <w:tcW w:w="851"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其它费用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gridSpan w:val="6"/>
            <w:tcBorders>
              <w:top w:val="single" w:color="auto" w:sz="4" w:space="0"/>
              <w:bottom w:val="single" w:color="auto" w:sz="4" w:space="0"/>
            </w:tcBorders>
            <w:tcW w:w="63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合计总价（元）</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744"/>
        </w:trPr>
        <w:tc>
          <w:tcPr>
            <w:gridSpan w:val="9"/>
            <w:tcBorders>
              <w:top w:val="single" w:color="auto" w:sz="4" w:space="0"/>
              <w:bottom w:val="single" w:color="auto" w:sz="4" w:space="0"/>
            </w:tcBorders>
            <w:tcW w:w="9222" w:type="dxa"/>
            <w:vAlign w:val="center"/>
            <w:textDirection w:val="lrTb"/>
            <w:noWrap w:val="false"/>
          </w:tcPr>
          <w:p>
            <w:pPr>
              <w:jc w:val="both"/>
              <w:rPr>
                <w:rFonts w:ascii="宋体" w:hAnsi="宋体"/>
                <w:color w:val="auto"/>
                <w:sz w:val="24"/>
                <w:highlight w:val="none"/>
              </w:rPr>
            </w:pPr>
            <w:r>
              <w:rPr>
                <w:rFonts w:hint="eastAsia" w:ascii="Times New Roman" w:hAnsi="宋体" w:eastAsia="宋体" w:cs="Times New Roman"/>
                <w:bCs/>
                <w:color w:val="auto"/>
                <w:szCs w:val="21"/>
                <w:highlight w:val="none"/>
              </w:rPr>
              <w:t xml:space="preserve">本</w:t>
            </w:r>
            <w:r>
              <w:rPr>
                <w:rFonts w:hint="eastAsia" w:ascii="Times New Roman" w:hAnsi="宋体" w:eastAsia="宋体" w:cs="Times New Roman"/>
                <w:bCs/>
                <w:color w:val="auto"/>
                <w:szCs w:val="21"/>
                <w:highlight w:val="none"/>
                <w:lang w:val="en-US" w:eastAsia="zh-CN"/>
              </w:rPr>
              <w:t xml:space="preserve">项目</w:t>
            </w:r>
            <w:r>
              <w:rPr>
                <w:rFonts w:hint="eastAsia" w:ascii="Times New Roman" w:hAnsi="宋体" w:eastAsia="宋体" w:cs="Times New Roman"/>
                <w:bCs/>
                <w:color w:val="auto"/>
                <w:szCs w:val="21"/>
                <w:highlight w:val="none"/>
              </w:rPr>
              <w:t xml:space="preserve">中提供的符合本国产品标准的产品成本之和占该采购包提供的全部产品成本之和的比例为</w:t>
            </w:r>
            <w:r>
              <w:rPr>
                <w:rFonts w:hint="eastAsia" w:ascii="Times New Roman" w:hAnsi="宋体" w:eastAsia="宋体" w:cs="Times New Roman"/>
                <w:bCs/>
                <w:color w:val="auto"/>
                <w:szCs w:val="21"/>
                <w:highlight w:val="none"/>
                <w:lang w:val="en-US" w:eastAsia="zh-CN"/>
              </w:rPr>
              <w:t xml:space="preserve">   </w:t>
            </w:r>
            <w:r>
              <w:rPr>
                <w:rFonts w:hint="eastAsia" w:ascii="Times New Roman" w:hAnsi="宋体" w:eastAsia="宋体" w:cs="Times New Roman"/>
                <w:bCs/>
                <w:color w:val="auto"/>
                <w:szCs w:val="21"/>
                <w:highlight w:val="none"/>
              </w:rPr>
              <w:t xml:space="preserve">%。</w:t>
            </w:r>
            <w:r/>
          </w:p>
        </w:tc>
      </w:tr>
    </w:tbl>
    <w:p>
      <w:pPr>
        <w:spacing w:line="440" w:lineRule="exact"/>
        <w:rPr>
          <w:rFonts w:ascii="宋体" w:hAnsi="宋体"/>
          <w:bCs/>
          <w:color w:val="auto"/>
          <w:sz w:val="24"/>
          <w:highlight w:val="none"/>
        </w:rPr>
      </w:pPr>
      <w:r>
        <w:rPr>
          <w:rFonts w:ascii="宋体" w:hAnsi="宋体"/>
          <w:bCs/>
          <w:color w:val="auto"/>
          <w:sz w:val="24"/>
          <w:highlight w:val="none"/>
        </w:rPr>
      </w:r>
      <w:r/>
    </w:p>
    <w:p>
      <w:pPr>
        <w:ind w:firstLine="480"/>
        <w:spacing w:line="440" w:lineRule="exact"/>
        <w:rPr>
          <w:rFonts w:hint="eastAsia" w:ascii="宋体" w:hAnsi="宋体"/>
          <w:bCs/>
          <w:color w:val="auto"/>
          <w:sz w:val="24"/>
          <w:highlight w:val="none"/>
          <w:lang w:val="en-US" w:eastAsia="zh-CN"/>
        </w:rPr>
      </w:pPr>
      <w:r>
        <w:rPr>
          <w:rFonts w:ascii="宋体" w:hAnsi="宋体"/>
          <w:bCs/>
          <w:color w:val="auto"/>
          <w:sz w:val="24"/>
          <w:highlight w:val="none"/>
        </w:rPr>
        <w:br w:type="textWrapping" w:clear="all"/>
      </w:r>
      <w:r>
        <w:rPr>
          <w:rFonts w:hint="eastAsia" w:ascii="宋体" w:hAnsi="宋体"/>
          <w:bCs/>
          <w:color w:val="auto"/>
          <w:sz w:val="24"/>
          <w:highlight w:val="none"/>
          <w:lang w:val="en-US" w:eastAsia="zh-CN"/>
        </w:rPr>
        <w:t xml:space="preserve">注：</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1、该表</w:t>
      </w:r>
      <w:r>
        <w:rPr>
          <w:rFonts w:hint="eastAsia" w:ascii="宋体" w:hAnsi="宋体"/>
          <w:bCs/>
          <w:color w:val="auto"/>
          <w:sz w:val="24"/>
          <w:highlight w:val="none"/>
        </w:rPr>
        <w:t xml:space="preserve">中“投标总报价”数额应当与“开标一览表”中“投标总报价”数额一致。</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2、本项目</w:t>
      </w:r>
      <w:r>
        <w:rPr>
          <w:rFonts w:hint="eastAsia" w:ascii="宋体" w:hAnsi="宋体"/>
          <w:bCs/>
          <w:color w:val="auto"/>
          <w:sz w:val="24"/>
          <w:highlight w:val="none"/>
        </w:rPr>
        <w:t xml:space="preserve">含有多种产品时，</w:t>
      </w:r>
      <w:r>
        <w:rPr>
          <w:rFonts w:hint="eastAsia" w:ascii="宋体" w:hAnsi="宋体"/>
          <w:bCs/>
          <w:color w:val="auto"/>
          <w:sz w:val="24"/>
          <w:highlight w:val="none"/>
          <w:lang w:val="en-US" w:eastAsia="zh-CN"/>
        </w:rPr>
        <w:t xml:space="preserve">投标人</w:t>
      </w:r>
      <w:r>
        <w:rPr>
          <w:rFonts w:hint="eastAsia" w:ascii="宋体" w:hAnsi="宋体"/>
          <w:bCs/>
          <w:color w:val="auto"/>
          <w:sz w:val="24"/>
          <w:highlight w:val="none"/>
        </w:rPr>
        <w:t xml:space="preserve">未填写</w:t>
      </w:r>
      <w:r>
        <w:rPr>
          <w:rFonts w:hint="eastAsia" w:ascii="宋体" w:hAnsi="宋体"/>
          <w:bCs/>
          <w:color w:val="auto"/>
          <w:sz w:val="24"/>
          <w:highlight w:val="none"/>
          <w:lang w:val="en-US" w:eastAsia="zh-CN"/>
        </w:rPr>
        <w:t xml:space="preserve">所</w:t>
      </w:r>
      <w:r>
        <w:rPr>
          <w:rFonts w:hint="eastAsia" w:ascii="宋体" w:hAnsi="宋体"/>
          <w:bCs/>
          <w:color w:val="auto"/>
          <w:sz w:val="24"/>
          <w:highlight w:val="none"/>
        </w:rPr>
        <w:t xml:space="preserve">提供的符合本国产品标准的产品成本之和占该采购包提供的全部产品成本之和的比例数值的，或比例数值未达到80%的，将不享受本国产品价格评审优惠。</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投标人需认真填写本报价表，尤其注意规格型号的准确填写。</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4、合计总价请保留小数点后两位。</w:t>
      </w:r>
      <w:r/>
    </w:p>
    <w:p>
      <w:pPr>
        <w:pStyle w:val="654"/>
        <w:rPr>
          <w:rFonts w:ascii="宋体" w:hAnsi="宋体" w:eastAsia="宋体"/>
          <w:b w:val="0"/>
          <w:color w:val="auto"/>
          <w:highlight w:val="none"/>
        </w:rPr>
      </w:pPr>
      <w:r>
        <w:rPr>
          <w:rFonts w:ascii="宋体" w:hAnsi="宋体" w:eastAsia="宋体"/>
          <w:b w:val="0"/>
          <w:color w:val="auto"/>
          <w:sz w:val="24"/>
          <w:szCs w:val="24"/>
          <w:highlight w:val="none"/>
        </w:rPr>
        <w:br w:type="page" w:clear="all"/>
      </w:r>
      <w:bookmarkStart w:id="88" w:name="_Toc511680883"/>
      <w:r/>
      <w:bookmarkStart w:id="89" w:name="_Toc321922917"/>
      <w:r/>
      <w:bookmarkStart w:id="90" w:name="_Toc472326801"/>
      <w:r/>
      <w:bookmarkStart w:id="91" w:name="_Toc187920261"/>
      <w:r>
        <w:rPr>
          <w:rFonts w:hint="eastAsia" w:ascii="宋体" w:hAnsi="宋体" w:eastAsia="宋体"/>
          <w:b w:val="0"/>
          <w:color w:val="auto"/>
          <w:highlight w:val="none"/>
        </w:rPr>
        <w:t xml:space="preserve">四</w:t>
      </w:r>
      <w:r>
        <w:rPr>
          <w:rFonts w:ascii="宋体" w:hAnsi="宋体" w:eastAsia="宋体"/>
          <w:b w:val="0"/>
          <w:color w:val="auto"/>
          <w:highlight w:val="none"/>
        </w:rPr>
        <w:t xml:space="preserve">、技术参数响应及偏离表</w:t>
      </w:r>
      <w:bookmarkEnd w:id="88"/>
      <w:r/>
      <w:bookmarkEnd w:id="89"/>
      <w:r/>
      <w:bookmarkEnd w:id="90"/>
      <w:r/>
      <w:bookmarkEnd w:id="91"/>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58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252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招标设备配置及</w:t>
            </w:r>
            <w:r/>
          </w:p>
          <w:p>
            <w:pPr>
              <w:jc w:val="center"/>
              <w:rPr>
                <w:rFonts w:ascii="宋体" w:hAnsi="宋体"/>
                <w:color w:val="auto"/>
                <w:sz w:val="24"/>
                <w:szCs w:val="24"/>
                <w:highlight w:val="none"/>
              </w:rPr>
            </w:pPr>
            <w:r>
              <w:rPr>
                <w:rFonts w:ascii="宋体" w:hAnsi="宋体"/>
                <w:color w:val="auto"/>
                <w:sz w:val="24"/>
                <w:szCs w:val="24"/>
                <w:highlight w:val="none"/>
              </w:rPr>
              <w:t xml:space="preserve">技术性能参数要求</w:t>
            </w:r>
            <w:r/>
          </w:p>
        </w:tc>
        <w:tc>
          <w:tcPr>
            <w:tcW w:w="24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投标设备</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配置及</w:t>
            </w:r>
            <w:r>
              <w:rPr>
                <w:rFonts w:ascii="宋体" w:hAnsi="宋体"/>
                <w:color w:val="auto"/>
                <w:sz w:val="24"/>
                <w:szCs w:val="24"/>
                <w:highlight w:val="none"/>
              </w:rPr>
              <w:t xml:space="preserve">技术性能参数</w:t>
            </w:r>
            <w:r/>
          </w:p>
        </w:tc>
        <w:tc>
          <w:tcPr>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有无偏离</w:t>
            </w:r>
            <w:r/>
          </w:p>
        </w:tc>
        <w:tc>
          <w:tcPr>
            <w:tcW w:w="199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偏离内容及原因</w:t>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252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1.1</w:t>
            </w:r>
            <w:r/>
          </w:p>
        </w:tc>
        <w:tc>
          <w:tcPr>
            <w:tcW w:w="252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1.2</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highlight w:val="none"/>
              </w:rPr>
              <w:t xml:space="preserve">……</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highlight w:val="none"/>
              </w:rPr>
              <w:t xml:space="preserve">……</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ind w:firstLine="480"/>
        <w:spacing w:line="400" w:lineRule="exact"/>
        <w:rPr>
          <w:rFonts w:ascii="宋体" w:hAnsi="宋体" w:cs="宋体"/>
          <w:color w:val="auto"/>
          <w:sz w:val="24"/>
          <w:szCs w:val="24"/>
          <w:highlight w:val="none"/>
        </w:rPr>
      </w:pPr>
      <w:r>
        <w:rPr>
          <w:rFonts w:ascii="宋体" w:hAnsi="宋体"/>
          <w:color w:val="auto"/>
          <w:sz w:val="24"/>
          <w:szCs w:val="24"/>
          <w:highlight w:val="none"/>
        </w:rPr>
        <w:t xml:space="preserve">注：1、投标人</w:t>
      </w:r>
      <w:r>
        <w:rPr>
          <w:rFonts w:ascii="宋体" w:hAnsi="宋体"/>
          <w:color w:val="auto"/>
          <w:sz w:val="24"/>
          <w:highlight w:val="none"/>
        </w:rPr>
        <w:t xml:space="preserve">应根据本项目</w:t>
      </w:r>
      <w:r>
        <w:rPr>
          <w:rFonts w:hint="eastAsia" w:ascii="宋体" w:hAnsi="宋体"/>
          <w:color w:val="auto"/>
          <w:sz w:val="24"/>
          <w:highlight w:val="none"/>
        </w:rPr>
        <w:t xml:space="preserve">“</w:t>
      </w:r>
      <w:r>
        <w:rPr>
          <w:rFonts w:ascii="宋体" w:hAnsi="宋体"/>
          <w:color w:val="auto"/>
          <w:sz w:val="24"/>
          <w:highlight w:val="none"/>
        </w:rPr>
        <w:t xml:space="preserve">第四章 项目需求</w:t>
      </w:r>
      <w:r>
        <w:rPr>
          <w:rFonts w:hint="eastAsia" w:ascii="宋体" w:hAnsi="宋体"/>
          <w:color w:val="auto"/>
          <w:sz w:val="24"/>
          <w:highlight w:val="none"/>
        </w:rPr>
        <w:t xml:space="preserve">”</w:t>
      </w:r>
      <w:r>
        <w:rPr>
          <w:rFonts w:ascii="宋体" w:hAnsi="宋体"/>
          <w:color w:val="auto"/>
          <w:sz w:val="24"/>
          <w:highlight w:val="none"/>
        </w:rPr>
        <w:t xml:space="preserve">中的“</w:t>
      </w:r>
      <w:r>
        <w:rPr>
          <w:rFonts w:hint="eastAsia" w:ascii="宋体" w:hAnsi="宋体" w:cs="宋体"/>
          <w:color w:val="auto"/>
          <w:sz w:val="24"/>
          <w:szCs w:val="24"/>
          <w:highlight w:val="none"/>
        </w:rPr>
        <w:t xml:space="preserve">四、技术性能及参数要求</w:t>
      </w:r>
      <w:r>
        <w:rPr>
          <w:rFonts w:ascii="宋体" w:hAnsi="宋体"/>
          <w:color w:val="auto"/>
          <w:sz w:val="24"/>
          <w:highlight w:val="none"/>
        </w:rPr>
        <w:t xml:space="preserve">”对照所投报设备的配置及技术性能参数进行逐项评议。</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2、若无偏离，在</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有无偏离”栏中填写“无”；若有偏离在“有无偏离”栏中填写“有”并在“偏离内容及原因”栏中作出说明；若投标人对某一事项是否存在或是否属于偏离不能确定，亦必须清楚标明该事项并在“有无偏离”栏中填写“不能确定”。</w:t>
      </w:r>
      <w:r>
        <w:rPr>
          <w:rFonts w:hint="eastAsia" w:ascii="宋体" w:hAnsi="宋体"/>
          <w:color w:val="auto"/>
          <w:sz w:val="24"/>
          <w:szCs w:val="24"/>
          <w:highlight w:val="none"/>
        </w:rPr>
        <w:t xml:space="preserve"> 如照抄采购要求或只写“完全响应”等字样的均为无效投标。</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3、表格不够可另接。</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92" w:name="_Toc472326802"/>
      <w:r/>
      <w:bookmarkStart w:id="93" w:name="_Toc511680884"/>
      <w:r/>
      <w:bookmarkStart w:id="94" w:name="_Toc321922918"/>
      <w:r/>
      <w:bookmarkStart w:id="95" w:name="_Toc187920262"/>
      <w:r>
        <w:rPr>
          <w:rFonts w:hint="eastAsia" w:ascii="宋体" w:hAnsi="宋体" w:eastAsia="宋体"/>
          <w:b w:val="0"/>
          <w:color w:val="auto"/>
          <w:highlight w:val="none"/>
        </w:rPr>
        <w:t xml:space="preserve">五</w:t>
      </w:r>
      <w:r>
        <w:rPr>
          <w:rFonts w:ascii="宋体" w:hAnsi="宋体" w:eastAsia="宋体"/>
          <w:b w:val="0"/>
          <w:color w:val="auto"/>
          <w:highlight w:val="none"/>
        </w:rPr>
        <w:t xml:space="preserve">、</w:t>
      </w:r>
      <w:r>
        <w:rPr>
          <w:rFonts w:hint="eastAsia" w:ascii="宋体" w:hAnsi="宋体" w:eastAsia="宋体"/>
          <w:b w:val="0"/>
          <w:color w:val="auto"/>
          <w:highlight w:val="none"/>
        </w:rPr>
        <w:t xml:space="preserve">投标设备详细配置表</w:t>
      </w:r>
      <w:bookmarkEnd w:id="92"/>
      <w:r/>
      <w:bookmarkEnd w:id="93"/>
      <w:r/>
      <w:bookmarkEnd w:id="94"/>
      <w:r/>
      <w:bookmarkEnd w:id="95"/>
      <w:r/>
      <w:r/>
    </w:p>
    <w:tbl>
      <w:tblPr>
        <w:tblStyle w:val="663"/>
        <w:tblW w:w="0" w:type="auto"/>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3"/>
        <w:gridCol w:w="2536"/>
        <w:gridCol w:w="1770"/>
        <w:gridCol w:w="330"/>
        <w:gridCol w:w="1785"/>
        <w:gridCol w:w="1680"/>
      </w:tblGrid>
      <w:tr>
        <w:trPr>
          <w:cantSplit/>
          <w:trHeight w:val="737"/>
        </w:trPr>
        <w:tc>
          <w:tcPr>
            <w:tcBorders>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left w:val="single" w:color="auto" w:sz="4" w:space="0"/>
              <w:bottom w:val="single" w:color="auto" w:sz="4" w:space="0"/>
              <w:right w:val="single" w:color="auto" w:sz="4" w:space="0"/>
            </w:tcBorders>
            <w:tcW w:w="253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设备名称</w:t>
            </w:r>
            <w:r/>
          </w:p>
        </w:tc>
        <w:tc>
          <w:tcPr>
            <w:tcBorders>
              <w:left w:val="single" w:color="auto" w:sz="4" w:space="0"/>
              <w:bottom w:val="single" w:color="auto" w:sz="4" w:space="0"/>
            </w:tcBorders>
            <w:tcW w:w="177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Borders>
              <w:left w:val="single" w:color="auto" w:sz="4" w:space="0"/>
              <w:bottom w:val="single" w:color="auto" w:sz="4" w:space="0"/>
            </w:tcBorders>
            <w:tcW w:w="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bottom w:val="single" w:color="auto" w:sz="4" w:space="0"/>
              <w:right w:val="single" w:color="auto" w:sz="4" w:space="0"/>
            </w:tcBorders>
            <w:tcW w:w="17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Borders>
              <w:left w:val="single" w:color="auto" w:sz="4" w:space="0"/>
              <w:bottom w:val="single" w:color="auto" w:sz="4" w:space="0"/>
            </w:tcBorders>
            <w:tcW w:w="16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  注</w:t>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right w:val="single" w:color="auto" w:sz="4" w:space="0"/>
            </w:tcBorders>
            <w:tcW w:w="2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tcBorders>
            <w:tcW w:w="17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tcBorders>
            <w:tcW w:w="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right w:val="single" w:color="auto" w:sz="4" w:space="0"/>
            </w:tcBorders>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tcBorders>
            <w:tcW w:w="16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spacing w:line="500" w:lineRule="exact"/>
        <w:rPr>
          <w:rFonts w:ascii="宋体" w:hAnsi="宋体"/>
          <w:color w:val="auto"/>
          <w:sz w:val="24"/>
          <w:szCs w:val="24"/>
          <w:highlight w:val="none"/>
        </w:rPr>
      </w:pPr>
      <w:r>
        <w:rPr>
          <w:rFonts w:ascii="宋体" w:hAnsi="宋体"/>
          <w:color w:val="auto"/>
          <w:sz w:val="24"/>
          <w:szCs w:val="24"/>
          <w:highlight w:val="none"/>
        </w:rPr>
        <w:t xml:space="preserve">注：1、投标人应根据拟提供设备的配置情况据实、详细填写上述表格。</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2、因表述含糊导致的评标风险将由投标人承担。</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3、如有需要说明的事项，请在备注中列明。</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4、表格不够可另接。</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96" w:name="_Toc481067490"/>
      <w:r/>
      <w:bookmarkStart w:id="97" w:name="_Toc457545802"/>
      <w:r/>
      <w:bookmarkStart w:id="98" w:name="_Toc426097428"/>
      <w:r/>
      <w:bookmarkStart w:id="99" w:name="_Toc483983345"/>
      <w:r/>
      <w:bookmarkStart w:id="100" w:name="_Toc511680885"/>
      <w:r/>
      <w:bookmarkStart w:id="101" w:name="_Toc498344042"/>
      <w:r/>
      <w:bookmarkStart w:id="102" w:name="_Toc187920263"/>
      <w:r>
        <w:rPr>
          <w:rFonts w:ascii="宋体" w:hAnsi="宋体" w:eastAsia="宋体"/>
          <w:b w:val="0"/>
          <w:color w:val="auto"/>
          <w:highlight w:val="none"/>
        </w:rPr>
        <w:t xml:space="preserve">六、</w:t>
      </w:r>
      <w:bookmarkEnd w:id="96"/>
      <w:r/>
      <w:bookmarkEnd w:id="97"/>
      <w:r/>
      <w:bookmarkEnd w:id="98"/>
      <w:r/>
      <w:bookmarkEnd w:id="99"/>
      <w:r>
        <w:rPr>
          <w:rFonts w:ascii="宋体" w:hAnsi="宋体" w:eastAsia="宋体"/>
          <w:b w:val="0"/>
          <w:color w:val="auto"/>
          <w:highlight w:val="none"/>
        </w:rPr>
        <w:t xml:space="preserve">投标设备综合性能及规格说明</w:t>
      </w:r>
      <w:bookmarkEnd w:id="100"/>
      <w:r/>
      <w:bookmarkEnd w:id="101"/>
      <w:r/>
      <w:bookmarkEnd w:id="102"/>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color w:val="auto"/>
          <w:sz w:val="24"/>
          <w:szCs w:val="24"/>
          <w:highlight w:val="none"/>
        </w:rPr>
      </w:pPr>
      <w:r>
        <w:rPr>
          <w:rFonts w:ascii="宋体" w:hAnsi="宋体"/>
          <w:color w:val="auto"/>
          <w:sz w:val="24"/>
          <w:szCs w:val="24"/>
          <w:highlight w:val="none"/>
        </w:rPr>
        <w:t xml:space="preserve">主要内容应包括但不限于以下方面：</w:t>
      </w:r>
      <w:r/>
    </w:p>
    <w:p>
      <w:pPr>
        <w:ind w:firstLine="482"/>
        <w:spacing w:line="500" w:lineRule="exact"/>
        <w:rPr>
          <w:rFonts w:ascii="宋体" w:hAnsi="宋体"/>
          <w:bCs/>
          <w:color w:val="auto"/>
          <w:sz w:val="24"/>
          <w:szCs w:val="24"/>
          <w:highlight w:val="none"/>
        </w:rPr>
      </w:pPr>
      <w:r>
        <w:rPr>
          <w:rFonts w:ascii="宋体" w:hAnsi="宋体"/>
          <w:bCs/>
          <w:color w:val="auto"/>
          <w:sz w:val="24"/>
          <w:szCs w:val="24"/>
          <w:highlight w:val="none"/>
        </w:rPr>
        <w:t xml:space="preserve">1、投标设备医疗器械注册证</w:t>
      </w:r>
      <w:r>
        <w:rPr>
          <w:rFonts w:hint="eastAsia" w:ascii="宋体" w:hAnsi="宋体"/>
          <w:bCs/>
          <w:color w:val="auto"/>
          <w:sz w:val="24"/>
          <w:szCs w:val="24"/>
          <w:highlight w:val="none"/>
        </w:rPr>
        <w:t xml:space="preserve">（未提供的作无效投标处理）</w:t>
      </w:r>
      <w:r>
        <w:rPr>
          <w:rFonts w:ascii="宋体" w:hAnsi="宋体"/>
          <w:bCs/>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2、投标设备主要技术性能参数说明。</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3、投标设备功能、性能特点说明。</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4、能体现投标设备技术参数的彩色样本、图片资料等（如果有的话）。</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5、其他说明。</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bookmarkStart w:id="103" w:name="_Toc299960832"/>
      <w:r/>
      <w:bookmarkStart w:id="104" w:name="_Toc511680887"/>
      <w:r/>
      <w:bookmarkStart w:id="105" w:name="_Toc472326805"/>
      <w:r/>
      <w:bookmarkStart w:id="106" w:name="_Toc321922921"/>
      <w:r/>
      <w:bookmarkStart w:id="107" w:name="_Toc255645976"/>
      <w:r/>
      <w:r/>
    </w:p>
    <w:p>
      <w:pPr>
        <w:pStyle w:val="654"/>
        <w:rPr>
          <w:rFonts w:ascii="宋体" w:hAnsi="宋体" w:eastAsia="宋体"/>
          <w:b w:val="0"/>
          <w:color w:val="auto"/>
          <w:sz w:val="24"/>
          <w:szCs w:val="24"/>
          <w:highlight w:val="none"/>
        </w:rPr>
      </w:pPr>
      <w:r>
        <w:rPr>
          <w:rFonts w:ascii="宋体" w:hAnsi="宋体" w:eastAsia="宋体"/>
          <w:b w:val="0"/>
          <w:color w:val="auto"/>
          <w:sz w:val="24"/>
          <w:szCs w:val="24"/>
          <w:highlight w:val="none"/>
        </w:rPr>
        <w:br w:type="page" w:clear="all"/>
      </w:r>
      <w:bookmarkStart w:id="108" w:name="_Toc187920264"/>
      <w:r>
        <w:rPr>
          <w:rFonts w:hint="eastAsia" w:ascii="宋体" w:hAnsi="宋体" w:eastAsia="宋体"/>
          <w:b w:val="0"/>
          <w:color w:val="auto"/>
          <w:highlight w:val="none"/>
        </w:rPr>
        <w:t xml:space="preserve">七、质量保证及售后服务承诺</w:t>
      </w:r>
      <w:bookmarkEnd w:id="103"/>
      <w:r/>
      <w:bookmarkEnd w:id="104"/>
      <w:r/>
      <w:bookmarkEnd w:id="105"/>
      <w:r/>
      <w:bookmarkEnd w:id="106"/>
      <w:r/>
      <w:bookmarkEnd w:id="107"/>
      <w:r/>
      <w:bookmarkEnd w:id="108"/>
      <w:r/>
      <w:r/>
    </w:p>
    <w:p>
      <w:pPr>
        <w:spacing w:line="460" w:lineRule="exact"/>
        <w:rPr>
          <w:rFonts w:ascii="宋体" w:hAnsi="宋体"/>
          <w:color w:val="auto"/>
          <w:sz w:val="24"/>
          <w:highlight w:val="none"/>
        </w:rPr>
      </w:pPr>
      <w:r>
        <w:rPr>
          <w:rFonts w:hint="eastAsia" w:ascii="宋体" w:hAnsi="宋体"/>
          <w:color w:val="auto"/>
          <w:sz w:val="24"/>
          <w:highlight w:val="none"/>
        </w:rPr>
        <w:t xml:space="preserve">主要内容应包括但不限于以下方面：</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1、质量保证说明。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1.1 投标设备免费质保期说明。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1.2 免费质保期内具体质保维保内容说明。</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2、售后服务机构说明。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2.1 售后服务机构名称及办事地点。</w:t>
      </w:r>
      <w:r/>
    </w:p>
    <w:p>
      <w:pPr>
        <w:ind w:firstLine="120"/>
        <w:spacing w:line="460" w:lineRule="exact"/>
        <w:rPr>
          <w:rFonts w:ascii="宋体" w:hAnsi="宋体"/>
          <w:color w:val="auto"/>
          <w:sz w:val="24"/>
          <w:highlight w:val="none"/>
        </w:rPr>
      </w:pPr>
      <w:r>
        <w:rPr>
          <w:rFonts w:ascii="宋体" w:hAnsi="宋体"/>
          <w:color w:val="auto"/>
          <w:sz w:val="24"/>
          <w:highlight w:val="none"/>
        </w:rPr>
        <w:t xml:space="preserve">注：服务机构如为企业，请提供企业营业执照副本及相关资质文件。</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3、质保期满后三年内备品备件、易损件报价表</w:t>
      </w:r>
      <w:r/>
    </w:p>
    <w:tbl>
      <w:tblPr>
        <w:tblStyle w:val="663"/>
        <w:tblW w:w="0" w:type="auto"/>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183"/>
        <w:gridCol w:w="1445"/>
        <w:gridCol w:w="1307"/>
        <w:gridCol w:w="812"/>
        <w:gridCol w:w="1618"/>
        <w:gridCol w:w="1015"/>
      </w:tblGrid>
      <w:tr>
        <w:trPr>
          <w:trHeight w:val="537" w:hRule="exact"/>
        </w:trPr>
        <w:tc>
          <w:tcPr>
            <w:tcW w:w="1074"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183"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名称</w:t>
            </w:r>
            <w:r/>
          </w:p>
        </w:tc>
        <w:tc>
          <w:tcPr>
            <w:tcW w:w="1445"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品牌规格</w:t>
            </w:r>
            <w:r/>
          </w:p>
        </w:tc>
        <w:tc>
          <w:tcPr>
            <w:tcW w:w="1307"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生产厂家</w:t>
            </w:r>
            <w:r/>
          </w:p>
        </w:tc>
        <w:tc>
          <w:tcPr>
            <w:tcW w:w="812"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单位</w:t>
            </w:r>
            <w:r/>
          </w:p>
        </w:tc>
        <w:tc>
          <w:tcPr>
            <w:tcW w:w="1618"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投标单价</w:t>
            </w:r>
            <w:r/>
          </w:p>
        </w:tc>
        <w:tc>
          <w:tcPr>
            <w:tcW w:w="1015"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备注</w:t>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bl>
    <w:p>
      <w:pPr>
        <w:ind w:firstLine="240"/>
        <w:spacing w:line="460" w:lineRule="exact"/>
        <w:rPr>
          <w:rFonts w:ascii="宋体" w:hAnsi="宋体"/>
          <w:color w:val="auto"/>
          <w:sz w:val="24"/>
          <w:highlight w:val="none"/>
        </w:rPr>
      </w:pPr>
      <w:r>
        <w:rPr>
          <w:rFonts w:ascii="宋体" w:hAnsi="宋体"/>
          <w:color w:val="auto"/>
          <w:sz w:val="24"/>
          <w:highlight w:val="none"/>
        </w:rPr>
        <w:t xml:space="preserve">4、售后服务承诺说明。</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4.1 投标设备具体售后服务说明，包括响应时间方式、质量回访、维修服务等。</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sz w:val="24"/>
          <w:szCs w:val="24"/>
          <w:highlight w:val="none"/>
        </w:rPr>
      </w:pPr>
      <w:r>
        <w:rPr>
          <w:rFonts w:ascii="宋体" w:hAnsi="宋体" w:eastAsia="宋体"/>
          <w:b w:val="0"/>
          <w:color w:val="auto"/>
          <w:sz w:val="24"/>
          <w:szCs w:val="24"/>
          <w:highlight w:val="none"/>
        </w:rPr>
        <w:br w:type="page" w:clear="all"/>
      </w:r>
      <w:bookmarkStart w:id="109" w:name="_Toc187920265"/>
      <w:r>
        <w:rPr>
          <w:rFonts w:hint="eastAsia" w:ascii="宋体" w:hAnsi="宋体" w:eastAsia="宋体"/>
          <w:b w:val="0"/>
          <w:color w:val="auto"/>
          <w:highlight w:val="none"/>
        </w:rPr>
        <w:t xml:space="preserve">八</w:t>
      </w:r>
      <w:r>
        <w:rPr>
          <w:rFonts w:ascii="宋体" w:hAnsi="宋体" w:eastAsia="宋体"/>
          <w:b w:val="0"/>
          <w:color w:val="auto"/>
          <w:highlight w:val="none"/>
        </w:rPr>
        <w:t xml:space="preserve">、商务条件响应及偏离表</w:t>
      </w:r>
      <w:bookmarkEnd w:id="109"/>
      <w:r/>
      <w:r/>
    </w:p>
    <w:tbl>
      <w:tblPr>
        <w:tblStyle w:val="663"/>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198"/>
      </w:tblGrid>
      <w:tr>
        <w:trPr>
          <w:trHeight w:val="454"/>
        </w:trPr>
        <w:tc>
          <w:tcPr>
            <w:tcW w:w="3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合同条款</w:t>
            </w:r>
            <w:r/>
          </w:p>
        </w:tc>
        <w:tc>
          <w:tcPr>
            <w:tcW w:w="23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有无偏离</w:t>
            </w:r>
            <w:r/>
          </w:p>
        </w:tc>
        <w:tc>
          <w:tcPr>
            <w:tcW w:w="319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偏离内容及原因</w:t>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第一条 定义</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第二条 组成本合同的文件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第四条 权利保证</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第五条 质量保证</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第六条 包装要求</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第七条 交货</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第八条 到货验收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第九条 伴随服务</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第十条 最终验收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第十一条 售后服务</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第十二条 付款</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第十三条 违约责任</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第十四条 不可抗力</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第十五条 合同的补充</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第十六条 合同的变更、中止</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第十七条 合同的终止</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第十八条 合同的转让</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第十九条 履约保证金</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第二十条 争议解决方式</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第二十一条 合同生效及其他</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ind w:firstLine="240"/>
        <w:spacing w:line="440" w:lineRule="exact"/>
        <w:rPr>
          <w:rFonts w:ascii="宋体" w:hAnsi="宋体"/>
          <w:color w:val="auto"/>
          <w:sz w:val="24"/>
          <w:szCs w:val="24"/>
          <w:highlight w:val="none"/>
        </w:rPr>
      </w:pPr>
      <w:r>
        <w:rPr>
          <w:rFonts w:ascii="宋体" w:hAnsi="宋体"/>
          <w:color w:val="auto"/>
          <w:sz w:val="24"/>
          <w:szCs w:val="24"/>
          <w:highlight w:val="none"/>
        </w:rPr>
        <w:t xml:space="preserve">注：1、投标人应据实、详细填写上述表格，因表述含糊导致的评标风险将由投标人承担。</w:t>
      </w:r>
      <w:r/>
    </w:p>
    <w:p>
      <w:pPr>
        <w:ind w:firstLine="720"/>
        <w:spacing w:line="440" w:lineRule="exact"/>
        <w:rPr>
          <w:rFonts w:ascii="宋体" w:hAnsi="宋体"/>
          <w:color w:val="auto"/>
          <w:sz w:val="24"/>
          <w:szCs w:val="24"/>
          <w:highlight w:val="none"/>
        </w:rPr>
      </w:pPr>
      <w:r>
        <w:rPr>
          <w:rFonts w:ascii="宋体" w:hAnsi="宋体"/>
          <w:color w:val="auto"/>
          <w:sz w:val="24"/>
          <w:szCs w:val="24"/>
          <w:highlight w:val="none"/>
        </w:rPr>
        <w:t xml:space="preserve">2、若无偏离，在“有无偏离”栏中填写“无”；若有偏离在“有无偏离”栏中填写 “有”并在“偏离内容及原因”栏中作出说明。</w:t>
      </w:r>
      <w:r/>
    </w:p>
    <w:p>
      <w:pPr>
        <w:ind w:firstLine="72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3、未提供或未做说明的作无效投标处理。</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bCs w:val="0"/>
          <w:color w:val="auto"/>
          <w:highlight w:val="none"/>
        </w:rPr>
      </w:pPr>
      <w:r/>
      <w:bookmarkStart w:id="110" w:name="_Toc187920266"/>
      <w:r/>
      <w:bookmarkStart w:id="111" w:name="_Toc5174858"/>
      <w:r/>
      <w:bookmarkStart w:id="112" w:name="_Toc520462575"/>
      <w:r/>
      <w:bookmarkStart w:id="113" w:name="_Toc5174580"/>
      <w:r>
        <w:rPr>
          <w:rFonts w:hint="eastAsia" w:ascii="宋体" w:hAnsi="宋体" w:eastAsia="宋体"/>
          <w:b w:val="0"/>
          <w:color w:val="auto"/>
          <w:highlight w:val="none"/>
        </w:rPr>
        <w:t xml:space="preserve">九</w:t>
      </w:r>
      <w:r>
        <w:rPr>
          <w:rFonts w:ascii="宋体" w:hAnsi="宋体" w:eastAsia="宋体"/>
          <w:b w:val="0"/>
          <w:color w:val="auto"/>
          <w:highlight w:val="none"/>
        </w:rPr>
        <w:t xml:space="preserve">、</w:t>
      </w:r>
      <w:r>
        <w:rPr>
          <w:rFonts w:hint="eastAsia" w:ascii="宋体" w:hAnsi="宋体" w:eastAsia="宋体"/>
          <w:b w:val="0"/>
          <w:color w:val="auto"/>
          <w:highlight w:val="none"/>
        </w:rPr>
        <w:t xml:space="preserve">项目业绩一览表</w:t>
      </w:r>
      <w:bookmarkEnd w:id="110"/>
      <w:r/>
      <w:bookmarkEnd w:id="111"/>
      <w:r/>
      <w:bookmarkEnd w:id="112"/>
      <w:r/>
      <w:bookmarkEnd w:id="113"/>
      <w:r/>
      <w:r/>
    </w:p>
    <w:tbl>
      <w:tblPr>
        <w:tblStyle w:val="663"/>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53"/>
        <w:gridCol w:w="1453"/>
        <w:gridCol w:w="1453"/>
        <w:gridCol w:w="1729"/>
        <w:gridCol w:w="1874"/>
        <w:gridCol w:w="961"/>
      </w:tblGrid>
      <w:tr>
        <w:trPr>
          <w:cantSplit/>
          <w:trHeight w:val="612"/>
        </w:trPr>
        <w:tc>
          <w:tcPr>
            <w:tcW w:w="1453" w:type="dxa"/>
            <w:vAlign w:val="center"/>
            <w:textDirection w:val="lrTb"/>
            <w:noWrap w:val="false"/>
          </w:tcPr>
          <w:p>
            <w:pPr>
              <w:pStyle w:val="666"/>
              <w:ind w:firstLine="0"/>
              <w:jc w:val="center"/>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1453" w:type="dxa"/>
            <w:vAlign w:val="center"/>
            <w:textDirection w:val="lrTb"/>
            <w:noWrap w:val="false"/>
          </w:tcPr>
          <w:p>
            <w:pPr>
              <w:pStyle w:val="666"/>
              <w:ind w:firstLine="0"/>
              <w:jc w:val="center"/>
              <w:rPr>
                <w:rFonts w:ascii="宋体" w:hAnsi="宋体"/>
                <w:bCs/>
                <w:color w:val="auto"/>
                <w:sz w:val="24"/>
                <w:szCs w:val="24"/>
                <w:highlight w:val="none"/>
              </w:rPr>
            </w:pPr>
            <w:r>
              <w:rPr>
                <w:rFonts w:ascii="宋体" w:hAnsi="宋体"/>
                <w:bCs/>
                <w:color w:val="auto"/>
                <w:sz w:val="24"/>
                <w:szCs w:val="24"/>
                <w:highlight w:val="none"/>
              </w:rPr>
              <w:t xml:space="preserve">项目名称</w:t>
            </w:r>
            <w:r/>
          </w:p>
        </w:tc>
        <w:tc>
          <w:tcPr>
            <w:tcW w:w="1453" w:type="dxa"/>
            <w:vAlign w:val="center"/>
            <w:textDirection w:val="lrTb"/>
            <w:noWrap w:val="false"/>
          </w:tcPr>
          <w:p>
            <w:pPr>
              <w:pStyle w:val="666"/>
              <w:ind w:firstLine="0"/>
              <w:jc w:val="center"/>
              <w:rPr>
                <w:rFonts w:ascii="宋体" w:hAnsi="宋体"/>
                <w:bCs/>
                <w:color w:val="auto"/>
                <w:sz w:val="24"/>
                <w:szCs w:val="24"/>
                <w:highlight w:val="none"/>
              </w:rPr>
            </w:pPr>
            <w:r>
              <w:rPr>
                <w:rFonts w:ascii="宋体" w:hAnsi="宋体"/>
                <w:bCs/>
                <w:color w:val="auto"/>
                <w:sz w:val="24"/>
                <w:szCs w:val="24"/>
                <w:highlight w:val="none"/>
              </w:rPr>
              <w:t xml:space="preserve">采购人</w:t>
            </w:r>
            <w:r/>
          </w:p>
        </w:tc>
        <w:tc>
          <w:tcPr>
            <w:tcW w:w="1729" w:type="dxa"/>
            <w:vAlign w:val="center"/>
            <w:textDirection w:val="lrTb"/>
            <w:noWrap w:val="false"/>
          </w:tcPr>
          <w:p>
            <w:pPr>
              <w:pStyle w:val="666"/>
              <w:ind w:firstLine="0"/>
              <w:jc w:val="center"/>
              <w:rPr>
                <w:rFonts w:ascii="宋体" w:hAnsi="宋体"/>
                <w:bCs/>
                <w:color w:val="auto"/>
                <w:sz w:val="24"/>
                <w:szCs w:val="24"/>
                <w:highlight w:val="none"/>
              </w:rPr>
            </w:pPr>
            <w:r>
              <w:rPr>
                <w:rFonts w:ascii="宋体" w:hAnsi="宋体"/>
                <w:bCs/>
                <w:color w:val="auto"/>
                <w:sz w:val="24"/>
                <w:szCs w:val="24"/>
                <w:highlight w:val="none"/>
              </w:rPr>
              <w:t xml:space="preserve">签订日期</w:t>
            </w:r>
            <w:r/>
          </w:p>
        </w:tc>
        <w:tc>
          <w:tcPr>
            <w:tcW w:w="1874" w:type="dxa"/>
            <w:vAlign w:val="center"/>
            <w:textDirection w:val="lrTb"/>
            <w:noWrap w:val="false"/>
          </w:tcPr>
          <w:p>
            <w:pPr>
              <w:pStyle w:val="666"/>
              <w:ind w:firstLine="0"/>
              <w:jc w:val="center"/>
              <w:rPr>
                <w:rFonts w:ascii="宋体" w:hAnsi="宋体"/>
                <w:bCs/>
                <w:color w:val="auto"/>
                <w:sz w:val="24"/>
                <w:szCs w:val="24"/>
                <w:highlight w:val="none"/>
              </w:rPr>
            </w:pPr>
            <w:r>
              <w:rPr>
                <w:rFonts w:ascii="宋体" w:hAnsi="宋体"/>
                <w:bCs/>
                <w:color w:val="auto"/>
                <w:sz w:val="24"/>
                <w:szCs w:val="24"/>
                <w:highlight w:val="none"/>
              </w:rPr>
              <w:t xml:space="preserve">合同金额（万元）</w:t>
            </w:r>
            <w:r/>
          </w:p>
        </w:tc>
        <w:tc>
          <w:tcPr>
            <w:tcW w:w="961" w:type="dxa"/>
            <w:vAlign w:val="center"/>
            <w:textDirection w:val="lrTb"/>
            <w:noWrap w:val="false"/>
          </w:tcPr>
          <w:p>
            <w:pPr>
              <w:pStyle w:val="666"/>
              <w:ind w:firstLine="0"/>
              <w:jc w:val="center"/>
              <w:rPr>
                <w:rFonts w:ascii="宋体" w:hAnsi="宋体"/>
                <w:bCs/>
                <w:color w:val="auto"/>
                <w:sz w:val="24"/>
                <w:szCs w:val="24"/>
                <w:highlight w:val="none"/>
              </w:rPr>
            </w:pPr>
            <w:r>
              <w:rPr>
                <w:rFonts w:ascii="宋体" w:hAnsi="宋体"/>
                <w:bCs/>
                <w:color w:val="auto"/>
                <w:sz w:val="24"/>
                <w:szCs w:val="24"/>
                <w:highlight w:val="none"/>
              </w:rPr>
              <w:t xml:space="preserve">备注</w:t>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666"/>
              <w:ind w:left="2940" w:firstLine="0"/>
              <w:jc w:val="center"/>
              <w:rPr>
                <w:rFonts w:ascii="宋体" w:hAnsi="宋体"/>
                <w:bCs/>
                <w:color w:val="auto"/>
                <w:szCs w:val="21"/>
                <w:highlight w:val="none"/>
              </w:rPr>
            </w:pPr>
            <w:r>
              <w:rPr>
                <w:rFonts w:ascii="宋体" w:hAnsi="宋体"/>
                <w:bCs/>
                <w:color w:val="auto"/>
                <w:szCs w:val="21"/>
                <w:highlight w:val="none"/>
              </w:rPr>
            </w:r>
            <w:r/>
          </w:p>
        </w:tc>
      </w:tr>
    </w:tbl>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注：需提供完整合同扫描件，未提供或提供不全的不得分。</w:t>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114" w:name="_Toc5174581"/>
      <w:r/>
      <w:bookmarkStart w:id="115" w:name="_Toc187920267"/>
      <w:r/>
      <w:bookmarkStart w:id="116" w:name="_Toc5174859"/>
      <w:r/>
      <w:bookmarkStart w:id="117" w:name="_Toc520462576"/>
      <w:r>
        <w:rPr>
          <w:rFonts w:hint="eastAsia" w:ascii="宋体" w:hAnsi="宋体" w:eastAsia="宋体"/>
          <w:b w:val="0"/>
          <w:color w:val="auto"/>
          <w:highlight w:val="none"/>
        </w:rPr>
        <w:t xml:space="preserve">十、</w:t>
      </w:r>
      <w:r>
        <w:rPr>
          <w:rFonts w:ascii="宋体" w:hAnsi="宋体" w:eastAsia="宋体"/>
          <w:b w:val="0"/>
          <w:color w:val="auto"/>
          <w:highlight w:val="none"/>
        </w:rPr>
        <w:t xml:space="preserve">设备的安装、调试</w:t>
      </w:r>
      <w:bookmarkEnd w:id="114"/>
      <w:r/>
      <w:bookmarkEnd w:id="115"/>
      <w:r/>
      <w:bookmarkEnd w:id="116"/>
      <w:r/>
      <w:bookmarkEnd w:id="117"/>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75"/>
      </w:tblGrid>
      <w:tr>
        <w:trPr>
          <w:jc w:val="center"/>
          <w:trHeight w:val="1676"/>
        </w:trPr>
        <w:tc>
          <w:tcPr>
            <w:tcW w:w="8775" w:type="dxa"/>
            <w:textDirection w:val="lrTb"/>
            <w:noWrap w:val="false"/>
          </w:tcPr>
          <w:p>
            <w:pPr>
              <w:spacing w:line="360" w:lineRule="auto"/>
              <w:tabs>
                <w:tab w:val="left" w:pos="1320" w:leader="none"/>
              </w:tabs>
              <w:rPr>
                <w:rFonts w:ascii="宋体" w:hAnsi="宋体"/>
                <w:color w:val="auto"/>
                <w:sz w:val="24"/>
                <w:szCs w:val="24"/>
                <w:highlight w:val="none"/>
              </w:rPr>
            </w:pPr>
            <w:r>
              <w:rPr>
                <w:rFonts w:ascii="宋体" w:hAnsi="宋体"/>
                <w:color w:val="auto"/>
                <w:sz w:val="24"/>
                <w:szCs w:val="24"/>
                <w:highlight w:val="none"/>
              </w:rPr>
              <w:t xml:space="preserve">提示：</w:t>
            </w:r>
            <w:r/>
          </w:p>
          <w:p>
            <w:pPr>
              <w:spacing w:line="360" w:lineRule="auto"/>
              <w:rPr>
                <w:rFonts w:ascii="宋体" w:hAnsi="宋体"/>
                <w:bCs/>
                <w:color w:val="auto"/>
                <w:sz w:val="24"/>
                <w:szCs w:val="24"/>
                <w:highlight w:val="none"/>
              </w:rPr>
            </w:pPr>
            <w:r>
              <w:rPr>
                <w:rFonts w:ascii="宋体" w:hAnsi="宋体"/>
                <w:color w:val="auto"/>
                <w:sz w:val="24"/>
                <w:szCs w:val="24"/>
                <w:highlight w:val="none"/>
              </w:rPr>
              <w:t xml:space="preserve">1、投标人应针对本次采购项目的特点及要求详细对设备的安装、调试方案予以说明；</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2、投标人可根据自身情况编写，本页不够可另加页附后。</w:t>
            </w:r>
            <w:r/>
          </w:p>
        </w:tc>
      </w:tr>
      <w:tr>
        <w:trPr>
          <w:jc w:val="center"/>
          <w:trHeight w:val="9364"/>
        </w:trPr>
        <w:tc>
          <w:tcPr>
            <w:tcW w:w="8775" w:type="dxa"/>
            <w:textDirection w:val="lrTb"/>
            <w:noWrap w:val="false"/>
          </w:tcPr>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br w:type="page" w:clear="all"/>
      </w:r>
      <w:r/>
    </w:p>
    <w:p>
      <w:pPr>
        <w:pStyle w:val="654"/>
        <w:rPr>
          <w:rFonts w:ascii="宋体" w:hAnsi="宋体" w:eastAsia="宋体"/>
          <w:b w:val="0"/>
          <w:color w:val="auto"/>
          <w:highlight w:val="none"/>
        </w:rPr>
      </w:pPr>
      <w:r/>
      <w:bookmarkStart w:id="118" w:name="_Toc187920268"/>
      <w:r>
        <w:rPr>
          <w:rFonts w:hint="eastAsia" w:ascii="宋体" w:hAnsi="宋体" w:eastAsia="宋体"/>
          <w:b w:val="0"/>
          <w:color w:val="auto"/>
          <w:highlight w:val="none"/>
        </w:rPr>
        <w:t xml:space="preserve">十一</w:t>
      </w:r>
      <w:r>
        <w:rPr>
          <w:rFonts w:ascii="宋体" w:hAnsi="宋体" w:eastAsia="宋体"/>
          <w:b w:val="0"/>
          <w:color w:val="auto"/>
          <w:highlight w:val="none"/>
        </w:rPr>
        <w:t xml:space="preserve">、资格证明文件</w:t>
      </w:r>
      <w:bookmarkEnd w:id="118"/>
      <w:r/>
      <w:r/>
    </w:p>
    <w:p>
      <w:pPr>
        <w:ind w:firstLine="562"/>
        <w:spacing w:line="440" w:lineRule="exact"/>
        <w:rPr>
          <w:rFonts w:ascii="宋体" w:hAnsi="宋体"/>
          <w:color w:val="auto"/>
          <w:sz w:val="24"/>
          <w:szCs w:val="24"/>
          <w:highlight w:val="none"/>
        </w:rPr>
      </w:pPr>
      <w:r>
        <w:rPr>
          <w:rFonts w:ascii="宋体" w:hAnsi="宋体"/>
          <w:color w:val="auto"/>
          <w:sz w:val="28"/>
          <w:szCs w:val="28"/>
          <w:highlight w:val="none"/>
        </w:rPr>
        <w:t xml:space="preserve">*</w:t>
      </w:r>
      <w:r>
        <w:rPr>
          <w:rFonts w:ascii="宋体" w:hAnsi="宋体"/>
          <w:color w:val="auto"/>
          <w:sz w:val="24"/>
          <w:szCs w:val="24"/>
          <w:highlight w:val="none"/>
        </w:rPr>
        <w:t xml:space="preserve">法定代表人授权书（</w:t>
      </w:r>
      <w:r>
        <w:rPr>
          <w:rFonts w:hint="eastAsia" w:ascii="宋体" w:hAnsi="宋体"/>
          <w:color w:val="auto"/>
          <w:sz w:val="24"/>
          <w:szCs w:val="24"/>
          <w:highlight w:val="none"/>
        </w:rPr>
        <w:t xml:space="preserve">参考</w:t>
      </w:r>
      <w:r>
        <w:rPr>
          <w:rFonts w:ascii="宋体" w:hAnsi="宋体"/>
          <w:color w:val="auto"/>
          <w:sz w:val="24"/>
          <w:szCs w:val="24"/>
          <w:highlight w:val="none"/>
        </w:rPr>
        <w:t xml:space="preserve">格式见附件一</w:t>
      </w:r>
      <w:r>
        <w:rPr>
          <w:rFonts w:hint="eastAsia" w:ascii="宋体" w:hAnsi="宋体"/>
          <w:color w:val="auto"/>
          <w:sz w:val="24"/>
          <w:szCs w:val="24"/>
          <w:highlight w:val="none"/>
        </w:rPr>
        <w:t xml:space="preserve">，</w:t>
      </w:r>
      <w:r>
        <w:rPr>
          <w:rFonts w:ascii="宋体" w:hAnsi="宋体"/>
          <w:color w:val="auto"/>
          <w:sz w:val="24"/>
          <w:szCs w:val="24"/>
          <w:highlight w:val="none"/>
        </w:rPr>
        <w:t xml:space="preserve">法定代表人签署投标文件的不需提供）</w:t>
      </w:r>
      <w:r/>
    </w:p>
    <w:p>
      <w:pPr>
        <w:ind w:firstLine="72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注：附</w:t>
      </w:r>
      <w:r>
        <w:rPr>
          <w:rFonts w:ascii="宋体" w:hAnsi="宋体"/>
          <w:bCs/>
          <w:color w:val="auto"/>
          <w:sz w:val="24"/>
          <w:szCs w:val="24"/>
          <w:highlight w:val="none"/>
        </w:rPr>
        <w:t xml:space="preserve">授权代表</w:t>
      </w:r>
      <w:r>
        <w:rPr>
          <w:rFonts w:hint="eastAsia" w:ascii="宋体" w:hAnsi="宋体"/>
          <w:bCs/>
          <w:color w:val="auto"/>
          <w:sz w:val="24"/>
          <w:szCs w:val="24"/>
          <w:highlight w:val="none"/>
        </w:rPr>
        <w:t xml:space="preserve">居民</w:t>
      </w:r>
      <w:r>
        <w:rPr>
          <w:rFonts w:ascii="宋体" w:hAnsi="宋体"/>
          <w:bCs/>
          <w:color w:val="auto"/>
          <w:sz w:val="24"/>
          <w:szCs w:val="24"/>
          <w:highlight w:val="none"/>
        </w:rPr>
        <w:t xml:space="preserve">身份证</w:t>
      </w:r>
      <w:r>
        <w:rPr>
          <w:rFonts w:hint="eastAsia" w:ascii="宋体" w:hAnsi="宋体"/>
          <w:bCs/>
          <w:color w:val="auto"/>
          <w:sz w:val="24"/>
          <w:szCs w:val="24"/>
          <w:highlight w:val="none"/>
        </w:rPr>
        <w:t xml:space="preserve">、法定代表人居民</w:t>
      </w:r>
      <w:r>
        <w:rPr>
          <w:rFonts w:ascii="宋体" w:hAnsi="宋体"/>
          <w:bCs/>
          <w:color w:val="auto"/>
          <w:sz w:val="24"/>
          <w:szCs w:val="24"/>
          <w:highlight w:val="none"/>
        </w:rPr>
        <w:t xml:space="preserve">身份证</w:t>
      </w:r>
      <w:r/>
    </w:p>
    <w:p>
      <w:pPr>
        <w:ind w:firstLine="562"/>
        <w:spacing w:line="440" w:lineRule="exact"/>
        <w:rPr>
          <w:rFonts w:ascii="宋体" w:hAnsi="宋体"/>
          <w:bCs/>
          <w:color w:val="auto"/>
          <w:sz w:val="24"/>
          <w:szCs w:val="24"/>
          <w:highlight w:val="none"/>
        </w:rPr>
      </w:pPr>
      <w:r>
        <w:rPr>
          <w:rFonts w:ascii="宋体" w:hAnsi="宋体"/>
          <w:color w:val="auto"/>
          <w:sz w:val="28"/>
          <w:szCs w:val="28"/>
          <w:highlight w:val="none"/>
        </w:rPr>
        <w:t xml:space="preserve">*</w:t>
      </w:r>
      <w:r>
        <w:rPr>
          <w:rFonts w:hint="eastAsia" w:ascii="宋体" w:hAnsi="宋体"/>
          <w:color w:val="auto"/>
          <w:sz w:val="24"/>
          <w:szCs w:val="24"/>
          <w:highlight w:val="none"/>
        </w:rPr>
        <w:t xml:space="preserve">投标人的</w:t>
      </w:r>
      <w:r>
        <w:rPr>
          <w:rFonts w:ascii="宋体" w:hAnsi="宋体"/>
          <w:color w:val="auto"/>
          <w:sz w:val="24"/>
          <w:szCs w:val="24"/>
          <w:highlight w:val="none"/>
        </w:rPr>
        <w:t xml:space="preserve">营业执照</w:t>
      </w:r>
      <w:r/>
    </w:p>
    <w:p>
      <w:pPr>
        <w:ind w:right="-153" w:firstLine="562"/>
        <w:jc w:val="left"/>
        <w:spacing w:line="440" w:lineRule="exact"/>
        <w:widowControl/>
        <w:rPr>
          <w:rFonts w:ascii="宋体" w:hAnsi="宋体"/>
          <w:color w:val="auto"/>
          <w:sz w:val="24"/>
          <w:szCs w:val="24"/>
          <w:highlight w:val="none"/>
        </w:rPr>
      </w:pPr>
      <w:r>
        <w:rPr>
          <w:rFonts w:ascii="宋体" w:hAnsi="宋体"/>
          <w:color w:val="auto"/>
          <w:sz w:val="28"/>
          <w:szCs w:val="28"/>
          <w:highlight w:val="none"/>
        </w:rPr>
        <w:t xml:space="preserve">*</w:t>
      </w:r>
      <w:r>
        <w:rPr>
          <w:rFonts w:hint="eastAsia" w:ascii="宋体" w:hAnsi="宋体"/>
          <w:color w:val="auto"/>
          <w:sz w:val="24"/>
          <w:szCs w:val="24"/>
          <w:highlight w:val="none"/>
        </w:rPr>
        <w:t xml:space="preserve">具有完整财务状况报告（</w:t>
      </w:r>
      <w:r>
        <w:rPr>
          <w:rFonts w:hint="eastAsia" w:ascii="宋体" w:hAnsi="宋体"/>
          <w:color w:val="auto"/>
          <w:sz w:val="28"/>
          <w:szCs w:val="28"/>
          <w:highlight w:val="none"/>
        </w:rPr>
        <w:t xml:space="preserve">银行资信证明或2023年度审计报告或2024年度审计报告</w:t>
      </w:r>
      <w:r>
        <w:rPr>
          <w:rFonts w:hint="eastAsia" w:ascii="宋体" w:hAnsi="宋体"/>
          <w:color w:val="auto"/>
          <w:sz w:val="24"/>
          <w:szCs w:val="24"/>
          <w:highlight w:val="none"/>
        </w:rPr>
        <w:t xml:space="preserve">）、依法缴纳</w:t>
      </w:r>
      <w:r>
        <w:rPr>
          <w:rFonts w:hint="eastAsia" w:ascii="宋体" w:hAnsi="宋体"/>
          <w:color w:val="auto"/>
          <w:sz w:val="28"/>
          <w:szCs w:val="28"/>
          <w:highlight w:val="none"/>
        </w:rPr>
        <w:t xml:space="preserve">社保</w:t>
      </w:r>
      <w:r>
        <w:rPr>
          <w:rFonts w:hint="eastAsia" w:ascii="宋体" w:hAnsi="宋体"/>
          <w:color w:val="auto"/>
          <w:sz w:val="24"/>
          <w:szCs w:val="24"/>
          <w:highlight w:val="none"/>
        </w:rPr>
        <w:t xml:space="preserve">、依法</w:t>
      </w:r>
      <w:r>
        <w:rPr>
          <w:rFonts w:hint="eastAsia" w:ascii="宋体" w:hAnsi="宋体"/>
          <w:color w:val="auto"/>
          <w:sz w:val="28"/>
          <w:szCs w:val="28"/>
          <w:highlight w:val="none"/>
        </w:rPr>
        <w:t xml:space="preserve">纳税</w:t>
      </w:r>
      <w:r>
        <w:rPr>
          <w:rFonts w:hint="eastAsia" w:ascii="宋体" w:hAnsi="宋体"/>
          <w:color w:val="auto"/>
          <w:sz w:val="24"/>
          <w:szCs w:val="24"/>
          <w:highlight w:val="none"/>
        </w:rPr>
        <w:t xml:space="preserve">的证明材料；</w:t>
      </w:r>
      <w:r/>
    </w:p>
    <w:p>
      <w:pPr>
        <w:ind w:right="-153" w:firstLine="562"/>
        <w:jc w:val="left"/>
        <w:spacing w:line="440" w:lineRule="exact"/>
        <w:widowControl/>
        <w:rPr>
          <w:rFonts w:ascii="宋体" w:hAnsi="宋体"/>
          <w:color w:val="auto"/>
          <w:sz w:val="24"/>
          <w:szCs w:val="24"/>
          <w:highlight w:val="none"/>
        </w:rPr>
      </w:pPr>
      <w:r>
        <w:rPr>
          <w:rFonts w:ascii="宋体" w:hAnsi="宋体"/>
          <w:color w:val="auto"/>
          <w:sz w:val="28"/>
          <w:szCs w:val="28"/>
          <w:highlight w:val="none"/>
        </w:rPr>
        <w:t xml:space="preserve">*</w:t>
      </w:r>
      <w:r>
        <w:rPr>
          <w:rFonts w:hint="eastAsia" w:ascii="宋体" w:hAnsi="宋体"/>
          <w:color w:val="auto"/>
          <w:sz w:val="24"/>
          <w:szCs w:val="24"/>
          <w:highlight w:val="none"/>
        </w:rPr>
        <w:t xml:space="preserve">具有履行合同所必需的人员和专业技术能力的证明材料；</w:t>
      </w:r>
      <w:r/>
    </w:p>
    <w:p>
      <w:pPr>
        <w:ind w:right="-153" w:firstLine="562"/>
        <w:jc w:val="left"/>
        <w:spacing w:line="440" w:lineRule="exact"/>
        <w:widowControl/>
        <w:rPr>
          <w:rFonts w:ascii="宋体" w:hAnsi="宋体"/>
          <w:color w:val="auto"/>
          <w:sz w:val="24"/>
          <w:szCs w:val="24"/>
          <w:highlight w:val="none"/>
        </w:rPr>
      </w:pPr>
      <w:r>
        <w:rPr>
          <w:rFonts w:ascii="宋体" w:hAnsi="宋体"/>
          <w:color w:val="auto"/>
          <w:sz w:val="28"/>
          <w:szCs w:val="28"/>
          <w:highlight w:val="none"/>
        </w:rPr>
        <w:t xml:space="preserve">*</w:t>
      </w:r>
      <w:r>
        <w:rPr>
          <w:rFonts w:ascii="宋体" w:hAnsi="宋体"/>
          <w:color w:val="auto"/>
          <w:sz w:val="24"/>
          <w:szCs w:val="24"/>
          <w:highlight w:val="none"/>
        </w:rPr>
        <w:t xml:space="preserve">参加政府采购活动前三年内，在经营活动中没有重大违法记录的书面承诺书；</w:t>
      </w:r>
      <w:r/>
    </w:p>
    <w:p>
      <w:pPr>
        <w:ind w:right="-153" w:firstLine="562"/>
        <w:jc w:val="left"/>
        <w:spacing w:line="440" w:lineRule="exact"/>
        <w:widowControl/>
        <w:rPr>
          <w:rFonts w:ascii="宋体" w:hAnsi="宋体"/>
          <w:color w:val="auto"/>
          <w:sz w:val="24"/>
          <w:szCs w:val="24"/>
          <w:highlight w:val="none"/>
        </w:rPr>
      </w:pPr>
      <w:r/>
      <w:bookmarkStart w:id="119" w:name="OLE_LINK70"/>
      <w:r/>
      <w:bookmarkStart w:id="120" w:name="OLE_LINK69"/>
      <w:r>
        <w:rPr>
          <w:rFonts w:ascii="宋体" w:hAnsi="宋体"/>
          <w:color w:val="auto"/>
          <w:sz w:val="28"/>
          <w:szCs w:val="28"/>
          <w:highlight w:val="none"/>
        </w:rPr>
        <w:t xml:space="preserve">*</w:t>
      </w:r>
      <w:bookmarkEnd w:id="119"/>
      <w:r/>
      <w:bookmarkEnd w:id="120"/>
      <w:r>
        <w:rPr>
          <w:rFonts w:hint="eastAsia" w:ascii="宋体" w:hAnsi="宋体"/>
          <w:color w:val="auto"/>
          <w:sz w:val="24"/>
          <w:szCs w:val="24"/>
          <w:highlight w:val="none"/>
        </w:rPr>
        <w:t xml:space="preserve">所投产品生产（经营）许可资格证明文件；</w:t>
      </w:r>
      <w:r/>
    </w:p>
    <w:p>
      <w:pPr>
        <w:ind w:right="-153" w:firstLine="562"/>
        <w:jc w:val="left"/>
        <w:spacing w:line="440" w:lineRule="exact"/>
        <w:widowControl/>
        <w:rPr>
          <w:rFonts w:ascii="宋体" w:hAnsi="宋体"/>
          <w:bCs/>
          <w:color w:val="auto"/>
          <w:sz w:val="24"/>
          <w:szCs w:val="24"/>
          <w:highlight w:val="none"/>
        </w:rPr>
      </w:pPr>
      <w:r>
        <w:rPr>
          <w:rFonts w:ascii="宋体" w:hAnsi="宋体"/>
          <w:color w:val="auto"/>
          <w:sz w:val="28"/>
          <w:szCs w:val="28"/>
          <w:highlight w:val="none"/>
        </w:rPr>
        <w:t xml:space="preserve">*</w:t>
      </w:r>
      <w:r>
        <w:rPr>
          <w:rFonts w:hint="eastAsia" w:ascii="宋体" w:hAnsi="宋体"/>
          <w:color w:val="auto"/>
          <w:sz w:val="24"/>
          <w:szCs w:val="24"/>
          <w:highlight w:val="none"/>
        </w:rPr>
        <w:t xml:space="preserve">具有《辐射安全许可证》</w:t>
      </w:r>
      <w:r/>
    </w:p>
    <w:p>
      <w:pPr>
        <w:ind w:right="-153" w:firstLine="480"/>
        <w:jc w:val="left"/>
        <w:spacing w:line="440" w:lineRule="exact"/>
        <w:widowControl/>
        <w:rPr>
          <w:rFonts w:hint="eastAsia"/>
          <w:color w:val="auto"/>
          <w:sz w:val="24"/>
          <w:szCs w:val="24"/>
          <w:highlight w:val="none"/>
        </w:rPr>
      </w:pPr>
      <w:r>
        <w:rPr>
          <w:rFonts w:hint="eastAsia"/>
          <w:color w:val="auto"/>
          <w:sz w:val="24"/>
          <w:szCs w:val="24"/>
          <w:highlight w:val="none"/>
        </w:rPr>
        <w:t xml:space="preserve">中小企业声明函（参考格式见附件四）或残疾人福利性单位声明函（参考格式见附件五）</w:t>
      </w:r>
      <w:r/>
    </w:p>
    <w:p>
      <w:pPr>
        <w:ind w:right="-153" w:firstLine="480"/>
        <w:jc w:val="left"/>
        <w:spacing w:line="440" w:lineRule="exact"/>
        <w:widowControl/>
        <w:rPr>
          <w:rFonts w:hint="eastAsia"/>
          <w:color w:val="auto"/>
          <w:sz w:val="24"/>
          <w:szCs w:val="24"/>
          <w:highlight w:val="none"/>
          <w:lang w:val="en-US" w:eastAsia="zh-CN"/>
        </w:rPr>
      </w:pPr>
      <w:r>
        <w:rPr>
          <w:rFonts w:hint="eastAsia"/>
          <w:color w:val="auto"/>
          <w:sz w:val="24"/>
          <w:szCs w:val="24"/>
          <w:highlight w:val="none"/>
        </w:rPr>
        <w:t xml:space="preserve">关于符合本国产品标准的声明函</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如符合）</w:t>
      </w:r>
      <w:r>
        <w:rPr>
          <w:rFonts w:hint="eastAsia"/>
          <w:color w:val="auto"/>
          <w:sz w:val="24"/>
          <w:szCs w:val="24"/>
          <w:highlight w:val="none"/>
        </w:rPr>
        <w:t xml:space="preserve">（参考格式见附件</w:t>
      </w:r>
      <w:r>
        <w:rPr>
          <w:rFonts w:hint="eastAsia"/>
          <w:color w:val="auto"/>
          <w:sz w:val="24"/>
          <w:szCs w:val="24"/>
          <w:highlight w:val="none"/>
          <w:lang w:val="en-US" w:eastAsia="zh-CN"/>
        </w:rPr>
        <w:t xml:space="preserve">六</w:t>
      </w:r>
      <w:r>
        <w:rPr>
          <w:rFonts w:hint="eastAsia"/>
          <w:color w:val="auto"/>
          <w:sz w:val="24"/>
          <w:szCs w:val="24"/>
          <w:highlight w:val="none"/>
        </w:rPr>
        <w:t xml:space="preserve">）</w:t>
      </w:r>
      <w:r/>
    </w:p>
    <w:p>
      <w:pPr>
        <w:ind w:right="-153" w:firstLine="720"/>
        <w:jc w:val="left"/>
        <w:spacing w:line="440" w:lineRule="exact"/>
        <w:widowControl/>
        <w:rPr>
          <w:rFonts w:ascii="宋体" w:hAnsi="宋体"/>
          <w:color w:val="auto"/>
          <w:sz w:val="24"/>
          <w:szCs w:val="24"/>
          <w:highlight w:val="none"/>
        </w:rPr>
      </w:pPr>
      <w:r>
        <w:rPr>
          <w:rFonts w:ascii="宋体" w:hAnsi="宋体"/>
          <w:color w:val="auto"/>
          <w:sz w:val="24"/>
          <w:szCs w:val="24"/>
          <w:highlight w:val="none"/>
        </w:rPr>
        <w:t xml:space="preserve">投标人资格声明</w:t>
      </w:r>
      <w:r>
        <w:rPr>
          <w:rFonts w:hint="eastAsia" w:ascii="宋体" w:hAnsi="宋体"/>
          <w:color w:val="auto"/>
          <w:sz w:val="24"/>
          <w:szCs w:val="24"/>
          <w:highlight w:val="none"/>
        </w:rPr>
        <w:t xml:space="preserve">（参考格式见附件二）</w:t>
      </w:r>
      <w:r/>
    </w:p>
    <w:p>
      <w:pPr>
        <w:ind w:firstLine="7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投标保证承诺书（参考格式见附件三）</w:t>
      </w:r>
      <w:r/>
    </w:p>
    <w:p>
      <w:pPr>
        <w:ind w:firstLine="7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投标人认为需要提供的其它证明文件</w:t>
      </w:r>
      <w:r/>
    </w:p>
    <w:p>
      <w:pPr>
        <w:ind w:firstLine="723"/>
        <w:spacing w:line="440" w:lineRule="exact"/>
        <w:rPr>
          <w:rFonts w:ascii="宋体" w:hAnsi="宋体"/>
          <w:color w:val="auto"/>
          <w:sz w:val="22"/>
          <w:szCs w:val="24"/>
          <w:highlight w:val="none"/>
        </w:rPr>
      </w:pPr>
      <w:r>
        <w:rPr>
          <w:rFonts w:ascii="宋体" w:hAnsi="宋体"/>
          <w:color w:val="auto"/>
          <w:sz w:val="24"/>
          <w:szCs w:val="24"/>
          <w:highlight w:val="none"/>
        </w:rPr>
        <w:t xml:space="preserve">其中加</w:t>
      </w:r>
      <w:r>
        <w:rPr>
          <w:rFonts w:hint="eastAsia" w:ascii="宋体" w:hAnsi="宋体"/>
          <w:color w:val="auto"/>
          <w:sz w:val="24"/>
          <w:szCs w:val="24"/>
          <w:highlight w:val="none"/>
        </w:rPr>
        <w:t xml:space="preserve">“</w:t>
      </w:r>
      <w:r>
        <w:rPr>
          <w:rFonts w:ascii="宋体" w:hAnsi="宋体"/>
          <w:color w:val="auto"/>
          <w:sz w:val="28"/>
          <w:szCs w:val="28"/>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项目若有缺失或无效，将导致其投标</w:t>
      </w:r>
      <w:r>
        <w:rPr>
          <w:rFonts w:hint="eastAsia" w:ascii="宋体" w:hAnsi="宋体"/>
          <w:color w:val="auto"/>
          <w:sz w:val="24"/>
          <w:szCs w:val="24"/>
          <w:highlight w:val="none"/>
        </w:rPr>
        <w:t xml:space="preserve">无效</w:t>
      </w:r>
      <w:r>
        <w:rPr>
          <w:rFonts w:ascii="宋体" w:hAnsi="宋体"/>
          <w:color w:val="auto"/>
          <w:sz w:val="24"/>
          <w:szCs w:val="24"/>
          <w:highlight w:val="none"/>
        </w:rPr>
        <w:t xml:space="preserve">且不允许在开标后补正。</w:t>
      </w:r>
      <w:bookmarkEnd w:id="76"/>
      <w:bookmarkEnd w:id="77"/>
      <w:bookmarkEnd w:id="78"/>
      <w:r/>
    </w:p>
    <w:p>
      <w:pPr>
        <w:pStyle w:val="654"/>
        <w:rPr>
          <w:rFonts w:ascii="宋体" w:hAnsi="宋体" w:eastAsia="宋体"/>
          <w:b w:val="0"/>
          <w:color w:val="auto"/>
          <w:highlight w:val="none"/>
        </w:rPr>
      </w:pPr>
      <w:r/>
      <w:bookmarkStart w:id="121" w:name="_Toc315868076"/>
      <w:r/>
      <w:bookmarkStart w:id="122" w:name="_Toc158691788"/>
      <w:r/>
      <w:bookmarkStart w:id="123" w:name="_Toc315875338"/>
      <w:r>
        <w:rPr>
          <w:rFonts w:ascii="宋体" w:hAnsi="宋体" w:eastAsia="宋体"/>
          <w:b w:val="0"/>
          <w:color w:val="auto"/>
          <w:highlight w:val="none"/>
        </w:rPr>
        <w:br w:type="page" w:clear="all"/>
      </w:r>
      <w:bookmarkStart w:id="124" w:name="_Toc187920269"/>
      <w:r>
        <w:rPr>
          <w:rFonts w:ascii="宋体" w:hAnsi="宋体" w:eastAsia="宋体"/>
          <w:b w:val="0"/>
          <w:color w:val="auto"/>
          <w:highlight w:val="none"/>
        </w:rPr>
        <w:t xml:space="preserve">附件一  法定代表人授权书</w:t>
      </w:r>
      <w:bookmarkEnd w:id="121"/>
      <w:r/>
      <w:bookmarkEnd w:id="122"/>
      <w:r/>
      <w:bookmarkEnd w:id="123"/>
      <w:r/>
      <w:bookmarkEnd w:id="124"/>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本授权委托书声明：</w:t>
      </w:r>
      <w:r>
        <w:rPr>
          <w:rFonts w:ascii="宋体" w:hAnsi="宋体"/>
          <w:color w:val="auto"/>
          <w:sz w:val="24"/>
          <w:szCs w:val="24"/>
          <w:highlight w:val="none"/>
          <w:u w:val="single"/>
        </w:rPr>
        <w:t xml:space="preserve">      （投标人全称）         </w:t>
      </w:r>
      <w:r>
        <w:rPr>
          <w:rFonts w:ascii="宋体" w:hAnsi="宋体"/>
          <w:color w:val="auto"/>
          <w:sz w:val="24"/>
          <w:szCs w:val="24"/>
          <w:highlight w:val="none"/>
        </w:rPr>
        <w:t xml:space="preserve">的  </w:t>
      </w:r>
      <w:r>
        <w:rPr>
          <w:rFonts w:ascii="宋体" w:hAnsi="宋体"/>
          <w:color w:val="auto"/>
          <w:sz w:val="24"/>
          <w:szCs w:val="24"/>
          <w:highlight w:val="none"/>
          <w:u w:val="single"/>
        </w:rPr>
        <w:t xml:space="preserve">（法定代表人姓名）  </w:t>
      </w:r>
      <w:r>
        <w:rPr>
          <w:rFonts w:ascii="宋体" w:hAnsi="宋体"/>
          <w:color w:val="auto"/>
          <w:sz w:val="24"/>
          <w:szCs w:val="24"/>
          <w:highlight w:val="none"/>
        </w:rPr>
        <w:t xml:space="preserve">，代表本公司授权</w:t>
      </w:r>
      <w:r>
        <w:rPr>
          <w:rFonts w:ascii="宋体" w:hAnsi="宋体"/>
          <w:color w:val="auto"/>
          <w:sz w:val="24"/>
          <w:szCs w:val="24"/>
          <w:highlight w:val="none"/>
          <w:u w:val="single"/>
        </w:rPr>
        <w:t xml:space="preserve">   （授权代表姓名）   </w:t>
      </w:r>
      <w:r>
        <w:rPr>
          <w:rFonts w:ascii="宋体" w:hAnsi="宋体"/>
          <w:color w:val="auto"/>
          <w:sz w:val="24"/>
          <w:szCs w:val="24"/>
          <w:highlight w:val="none"/>
        </w:rPr>
        <w:t xml:space="preserve">为本公司的合法代理人，就贵方组织的</w:t>
      </w:r>
      <w:r>
        <w:rPr>
          <w:rFonts w:hint="eastAsia" w:ascii="宋体" w:hAnsi="宋体"/>
          <w:color w:val="auto"/>
          <w:sz w:val="24"/>
          <w:szCs w:val="24"/>
          <w:highlight w:val="none"/>
          <w:u w:val="single"/>
        </w:rPr>
        <w:t xml:space="preserve">  正电子发射及X射线计算机断层成像系统（PET/CT)   </w:t>
      </w:r>
      <w:r>
        <w:rPr>
          <w:rFonts w:ascii="宋体" w:hAnsi="宋体"/>
          <w:color w:val="auto"/>
          <w:sz w:val="24"/>
          <w:szCs w:val="24"/>
          <w:highlight w:val="none"/>
        </w:rPr>
        <w:t xml:space="preserve">项目（项目编号：</w:t>
      </w:r>
      <w:r>
        <w:rPr>
          <w:rFonts w:hint="eastAsia" w:ascii="宋体" w:hAnsi="宋体"/>
          <w:color w:val="auto"/>
          <w:sz w:val="24"/>
          <w:szCs w:val="24"/>
          <w:highlight w:val="none"/>
          <w:lang w:eastAsia="zh-CN"/>
        </w:rPr>
        <w:t xml:space="preserve">JSZC-320581-SZWK-G2026-0065</w:t>
      </w:r>
      <w:r>
        <w:rPr>
          <w:rFonts w:ascii="宋体" w:hAnsi="宋体"/>
          <w:color w:val="auto"/>
          <w:sz w:val="24"/>
          <w:szCs w:val="24"/>
          <w:highlight w:val="none"/>
        </w:rPr>
        <w:t xml:space="preserve">号），以本公司名义处理一切与之有关的事务。</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本授权书于</w:t>
      </w:r>
      <w:r>
        <w:rPr>
          <w:rFonts w:ascii="宋体" w:hAnsi="宋体"/>
          <w:color w:val="auto"/>
          <w:sz w:val="24"/>
          <w:szCs w:val="24"/>
          <w:highlight w:val="none"/>
          <w:u w:val="single"/>
        </w:rPr>
        <w:t xml:space="preserve"> 202</w:t>
      </w:r>
      <w:r>
        <w:rPr>
          <w:rFonts w:hint="eastAsia" w:ascii="宋体" w:hAnsi="宋体"/>
          <w:color w:val="auto"/>
          <w:sz w:val="24"/>
          <w:szCs w:val="24"/>
          <w:highlight w:val="none"/>
          <w:u w:val="single"/>
        </w:rPr>
        <w:t xml:space="preserve">5</w:t>
      </w:r>
      <w:r>
        <w:rPr>
          <w:rFonts w:ascii="宋体" w:hAnsi="宋体"/>
          <w:color w:val="auto"/>
          <w:sz w:val="24"/>
          <w:szCs w:val="24"/>
          <w:highlight w:val="none"/>
        </w:rPr>
        <w:t xml:space="preserve">年月日生效，被授权人无转委权。</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    特此声明。</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w:t>
      </w:r>
      <w:r>
        <w:rPr>
          <w:rFonts w:ascii="宋体" w:hAnsi="宋体"/>
          <w:color w:val="auto"/>
          <w:sz w:val="24"/>
          <w:szCs w:val="24"/>
          <w:highlight w:val="none"/>
        </w:rPr>
        <w:t xml:space="preserve">：</w:t>
      </w:r>
      <w:r>
        <w:rPr>
          <w:rFonts w:hint="eastAsia" w:ascii="宋体" w:hAnsi="宋体"/>
          <w:color w:val="auto"/>
          <w:sz w:val="24"/>
          <w:szCs w:val="24"/>
          <w:highlight w:val="none"/>
        </w:rPr>
        <w:t xml:space="preserve">（C</w:t>
      </w:r>
      <w:r>
        <w:rPr>
          <w:rFonts w:ascii="宋体" w:hAnsi="宋体"/>
          <w:color w:val="auto"/>
          <w:sz w:val="24"/>
          <w:szCs w:val="24"/>
          <w:highlight w:val="none"/>
        </w:rPr>
        <w:t xml:space="preserve">A</w:t>
      </w:r>
      <w:r>
        <w:rPr>
          <w:rFonts w:hint="eastAsia" w:ascii="宋体" w:hAnsi="宋体"/>
          <w:color w:val="auto"/>
          <w:sz w:val="24"/>
          <w:szCs w:val="24"/>
          <w:highlight w:val="none"/>
        </w:rPr>
        <w:t xml:space="preserve">签章）</w:t>
      </w:r>
      <w:r/>
    </w:p>
    <w:p>
      <w:pPr>
        <w:rPr>
          <w:rFonts w:ascii="宋体" w:hAnsi="宋体"/>
          <w:color w:val="auto"/>
          <w:sz w:val="24"/>
          <w:szCs w:val="24"/>
          <w:highlight w:val="none"/>
          <w:u w:val="single"/>
        </w:rPr>
      </w:pPr>
      <w:r>
        <w:rPr>
          <w:rFonts w:ascii="宋体" w:hAnsi="宋体"/>
          <w:color w:val="auto"/>
          <w:sz w:val="24"/>
          <w:szCs w:val="24"/>
          <w:highlight w:val="none"/>
        </w:rPr>
        <w:t xml:space="preserve">地    址：</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rPr>
          <w:rFonts w:hint="eastAsia" w:ascii="宋体" w:hAnsi="宋体"/>
          <w:color w:val="auto"/>
          <w:sz w:val="24"/>
          <w:szCs w:val="24"/>
          <w:highlight w:val="none"/>
        </w:rPr>
        <w:t xml:space="preserve">（C</w:t>
      </w:r>
      <w:r>
        <w:rPr>
          <w:rFonts w:ascii="宋体" w:hAnsi="宋体"/>
          <w:color w:val="auto"/>
          <w:sz w:val="24"/>
          <w:szCs w:val="24"/>
          <w:highlight w:val="none"/>
        </w:rPr>
        <w:t xml:space="preserve">A</w:t>
      </w:r>
      <w:r>
        <w:rPr>
          <w:rFonts w:hint="eastAsia" w:ascii="宋体" w:hAnsi="宋体"/>
          <w:color w:val="auto"/>
          <w:sz w:val="24"/>
          <w:szCs w:val="24"/>
          <w:highlight w:val="none"/>
        </w:rPr>
        <w:t xml:space="preserve">签章）</w:t>
      </w:r>
      <w:r/>
    </w:p>
    <w:p>
      <w:pPr>
        <w:rPr>
          <w:rFonts w:ascii="宋体" w:hAnsi="宋体"/>
          <w:color w:val="auto"/>
          <w:sz w:val="24"/>
          <w:szCs w:val="24"/>
          <w:highlight w:val="none"/>
          <w:u w:val="single"/>
        </w:rPr>
      </w:pPr>
      <w:r>
        <w:rPr>
          <w:rFonts w:ascii="宋体" w:hAnsi="宋体"/>
          <w:color w:val="auto"/>
          <w:sz w:val="24"/>
          <w:szCs w:val="24"/>
          <w:highlight w:val="none"/>
        </w:rPr>
        <w:t xml:space="preserve">公民身份号码：</w:t>
      </w:r>
      <w:r/>
    </w:p>
    <w:p>
      <w:pPr>
        <w:rPr>
          <w:rFonts w:ascii="宋体" w:hAnsi="宋体"/>
          <w:color w:val="auto"/>
          <w:sz w:val="24"/>
          <w:szCs w:val="24"/>
          <w:highlight w:val="none"/>
        </w:rPr>
      </w:pPr>
      <w:r>
        <w:rPr>
          <w:rFonts w:ascii="宋体" w:hAnsi="宋体"/>
          <w:color w:val="auto"/>
          <w:sz w:val="24"/>
          <w:szCs w:val="24"/>
          <w:highlight w:val="none"/>
        </w:rPr>
        <w:t xml:space="preserve">职    务：</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授权代表</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p>
    <w:p>
      <w:pPr>
        <w:rPr>
          <w:rFonts w:ascii="宋体" w:hAnsi="宋体"/>
          <w:color w:val="auto"/>
          <w:sz w:val="24"/>
          <w:szCs w:val="24"/>
          <w:highlight w:val="none"/>
          <w:u w:val="single"/>
        </w:rPr>
      </w:pPr>
      <w:r>
        <w:rPr>
          <w:rFonts w:ascii="宋体" w:hAnsi="宋体"/>
          <w:color w:val="auto"/>
          <w:sz w:val="24"/>
          <w:szCs w:val="24"/>
          <w:highlight w:val="none"/>
        </w:rPr>
        <w:t xml:space="preserve">公民身份号码：</w:t>
      </w:r>
      <w:r/>
    </w:p>
    <w:p>
      <w:pPr>
        <w:rPr>
          <w:rFonts w:ascii="宋体" w:hAnsi="宋体"/>
          <w:color w:val="auto"/>
          <w:sz w:val="24"/>
          <w:szCs w:val="24"/>
          <w:highlight w:val="none"/>
        </w:rPr>
      </w:pPr>
      <w:r>
        <w:rPr>
          <w:rFonts w:ascii="宋体" w:hAnsi="宋体"/>
          <w:color w:val="auto"/>
          <w:sz w:val="24"/>
          <w:szCs w:val="24"/>
          <w:highlight w:val="none"/>
        </w:rPr>
        <w:t xml:space="preserve">职    务：</w:t>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125" w:name="_Toc158691789"/>
      <w:r/>
      <w:bookmarkStart w:id="126" w:name="_Toc315868077"/>
      <w:r/>
      <w:bookmarkStart w:id="127" w:name="_Toc315875339"/>
      <w:r/>
      <w:bookmarkStart w:id="128" w:name="_Toc187920270"/>
      <w:r>
        <w:rPr>
          <w:rFonts w:ascii="宋体" w:hAnsi="宋体" w:eastAsia="宋体"/>
          <w:b w:val="0"/>
          <w:color w:val="auto"/>
          <w:highlight w:val="none"/>
        </w:rPr>
        <w:t xml:space="preserve">附件二  投标人资格声明</w:t>
      </w:r>
      <w:bookmarkEnd w:id="125"/>
      <w:r/>
      <w:bookmarkEnd w:id="126"/>
      <w:r/>
      <w:bookmarkEnd w:id="127"/>
      <w:r/>
      <w:bookmarkEnd w:id="128"/>
      <w:r/>
      <w:r/>
    </w:p>
    <w:p>
      <w:pPr>
        <w:spacing w:line="500" w:lineRule="exact"/>
        <w:rPr>
          <w:rFonts w:ascii="宋体" w:hAnsi="宋体"/>
          <w:color w:val="auto"/>
          <w:sz w:val="24"/>
          <w:highlight w:val="none"/>
        </w:rPr>
      </w:pPr>
      <w:r>
        <w:rPr>
          <w:rFonts w:ascii="宋体" w:hAnsi="宋体"/>
          <w:color w:val="auto"/>
          <w:sz w:val="24"/>
          <w:highlight w:val="none"/>
        </w:rPr>
        <w:t xml:space="preserve">1、投标人基本情况：</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①</w:t>
      </w:r>
      <w:r>
        <w:rPr>
          <w:rFonts w:ascii="宋体" w:hAnsi="宋体"/>
          <w:color w:val="auto"/>
          <w:sz w:val="24"/>
          <w:highlight w:val="none"/>
        </w:rPr>
        <w:t xml:space="preserve">名称：   地   址：</w:t>
      </w:r>
      <w:r/>
    </w:p>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②</w:t>
      </w:r>
      <w:r>
        <w:rPr>
          <w:rFonts w:ascii="宋体" w:hAnsi="宋体"/>
          <w:color w:val="auto"/>
          <w:sz w:val="24"/>
          <w:highlight w:val="none"/>
        </w:rPr>
        <w:t xml:space="preserve">成立和注册日期：</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③</w:t>
      </w:r>
      <w:r>
        <w:rPr>
          <w:rFonts w:ascii="宋体" w:hAnsi="宋体"/>
          <w:color w:val="auto"/>
          <w:sz w:val="24"/>
          <w:highlight w:val="none"/>
        </w:rPr>
        <w:t xml:space="preserve">公司（企业）性质：</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④</w:t>
      </w:r>
      <w:r>
        <w:rPr>
          <w:rFonts w:ascii="宋体" w:hAnsi="宋体"/>
          <w:color w:val="auto"/>
          <w:sz w:val="24"/>
          <w:highlight w:val="none"/>
        </w:rPr>
        <w:t xml:space="preserve">法定代表人或主要负责人：</w:t>
      </w:r>
      <w:r/>
    </w:p>
    <w:p>
      <w:pPr>
        <w:spacing w:line="500" w:lineRule="exact"/>
        <w:rPr>
          <w:rFonts w:ascii="宋体" w:hAnsi="宋体"/>
          <w:color w:val="auto"/>
          <w:sz w:val="24"/>
          <w:highlight w:val="none"/>
        </w:rPr>
      </w:pPr>
      <w:r>
        <w:rPr>
          <w:rFonts w:ascii="宋体" w:hAnsi="宋体"/>
          <w:color w:val="auto"/>
          <w:sz w:val="24"/>
          <w:highlight w:val="none"/>
        </w:rPr>
        <w:t xml:space="preserve">2、投标人最近的主要财务情况：（202</w:t>
      </w:r>
      <w:r>
        <w:rPr>
          <w:rFonts w:hint="eastAsia" w:ascii="宋体" w:hAnsi="宋体"/>
          <w:color w:val="auto"/>
          <w:sz w:val="24"/>
          <w:highlight w:val="none"/>
        </w:rPr>
        <w:t xml:space="preserve">4</w:t>
      </w:r>
      <w:r>
        <w:rPr>
          <w:rFonts w:ascii="宋体" w:hAnsi="宋体"/>
          <w:color w:val="auto"/>
          <w:sz w:val="24"/>
          <w:highlight w:val="none"/>
        </w:rPr>
        <w:t xml:space="preserve">年1月到</w:t>
      </w:r>
      <w:r>
        <w:rPr>
          <w:rFonts w:hint="eastAsia" w:ascii="宋体" w:hAnsi="宋体"/>
          <w:color w:val="auto"/>
          <w:sz w:val="24"/>
          <w:highlight w:val="none"/>
        </w:rPr>
        <w:t xml:space="preserve">12</w:t>
      </w:r>
      <w:r>
        <w:rPr>
          <w:rFonts w:ascii="宋体" w:hAnsi="宋体"/>
          <w:color w:val="auto"/>
          <w:sz w:val="24"/>
          <w:highlight w:val="none"/>
        </w:rPr>
        <w:t xml:space="preserve">底止）</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①</w:t>
      </w:r>
      <w:r>
        <w:rPr>
          <w:rFonts w:ascii="宋体" w:hAnsi="宋体"/>
          <w:color w:val="auto"/>
          <w:sz w:val="24"/>
          <w:highlight w:val="none"/>
        </w:rPr>
        <w:t xml:space="preserve">注册资本：</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②</w:t>
      </w:r>
      <w:r>
        <w:rPr>
          <w:rFonts w:ascii="宋体" w:hAnsi="宋体"/>
          <w:color w:val="auto"/>
          <w:sz w:val="24"/>
          <w:highlight w:val="none"/>
        </w:rPr>
        <w:t xml:space="preserve">固定资产：</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原值：</w:t>
      </w:r>
      <w:r/>
    </w:p>
    <w:p>
      <w:pPr>
        <w:spacing w:line="500" w:lineRule="exact"/>
        <w:rPr>
          <w:rFonts w:ascii="宋体" w:hAnsi="宋体"/>
          <w:color w:val="auto"/>
          <w:sz w:val="24"/>
          <w:highlight w:val="none"/>
          <w:u w:val="single"/>
        </w:rPr>
      </w:pPr>
      <w:r>
        <w:rPr>
          <w:rFonts w:ascii="宋体" w:hAnsi="宋体"/>
          <w:color w:val="auto"/>
          <w:sz w:val="24"/>
          <w:highlight w:val="none"/>
        </w:rPr>
        <w:t xml:space="preserve">     净值：</w:t>
      </w:r>
      <w:r/>
    </w:p>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③</w:t>
      </w:r>
      <w:r>
        <w:rPr>
          <w:rFonts w:ascii="宋体" w:hAnsi="宋体"/>
          <w:color w:val="auto"/>
          <w:sz w:val="24"/>
          <w:highlight w:val="none"/>
        </w:rPr>
        <w:t xml:space="preserve">流动资产：</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④</w:t>
      </w:r>
      <w:r>
        <w:rPr>
          <w:rFonts w:ascii="宋体" w:hAnsi="宋体"/>
          <w:color w:val="auto"/>
          <w:sz w:val="24"/>
          <w:highlight w:val="none"/>
        </w:rPr>
        <w:t xml:space="preserve">长期负债：</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⑤</w:t>
      </w:r>
      <w:r>
        <w:rPr>
          <w:rFonts w:ascii="宋体" w:hAnsi="宋体"/>
          <w:color w:val="auto"/>
          <w:sz w:val="24"/>
          <w:highlight w:val="none"/>
        </w:rPr>
        <w:t xml:space="preserve">短期负债：</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⑥</w:t>
      </w:r>
      <w:r>
        <w:rPr>
          <w:rFonts w:ascii="宋体" w:hAnsi="宋体"/>
          <w:color w:val="auto"/>
          <w:sz w:val="24"/>
          <w:highlight w:val="none"/>
        </w:rPr>
        <w:t xml:space="preserve">营业收入/主营业务收入：</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⑦</w:t>
      </w:r>
      <w:r>
        <w:rPr>
          <w:rFonts w:ascii="宋体" w:hAnsi="宋体"/>
          <w:color w:val="auto"/>
          <w:sz w:val="24"/>
          <w:highlight w:val="none"/>
        </w:rPr>
        <w:t xml:space="preserve">利润：</w:t>
      </w:r>
      <w:r/>
    </w:p>
    <w:p>
      <w:pPr>
        <w:spacing w:line="500" w:lineRule="exact"/>
        <w:rPr>
          <w:rFonts w:ascii="宋体" w:hAnsi="宋体"/>
          <w:color w:val="auto"/>
          <w:sz w:val="24"/>
          <w:highlight w:val="none"/>
        </w:rPr>
      </w:pPr>
      <w:r>
        <w:rPr>
          <w:rFonts w:ascii="宋体" w:hAnsi="宋体"/>
          <w:color w:val="auto"/>
          <w:sz w:val="24"/>
          <w:highlight w:val="none"/>
        </w:rPr>
        <w:t xml:space="preserve">3、投标人已有设备情况：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t xml:space="preserve">4、投标人技术人员情况：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t xml:space="preserve">5、与投标货物的生产、销售和服务有关的情况：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rPr>
      </w:pPr>
      <w:r>
        <w:rPr>
          <w:rFonts w:ascii="宋体" w:hAnsi="宋体"/>
          <w:color w:val="auto"/>
          <w:sz w:val="24"/>
          <w:highlight w:val="none"/>
        </w:rPr>
        <w:t xml:space="preserve">6、投标人从事本行业经验（包括年限、技术力量、额定能力、已完成项目等）：</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rPr>
      </w:pPr>
      <w:r>
        <w:rPr>
          <w:rFonts w:ascii="宋体" w:hAnsi="宋体"/>
          <w:color w:val="auto"/>
          <w:sz w:val="24"/>
          <w:highlight w:val="none"/>
        </w:rPr>
        <w:t xml:space="preserve">7、投标人开户银行及帐号：</w:t>
      </w:r>
      <w:r/>
    </w:p>
    <w:p>
      <w:pPr>
        <w:spacing w:line="500" w:lineRule="exact"/>
        <w:rPr>
          <w:rFonts w:ascii="宋体" w:hAnsi="宋体"/>
          <w:color w:val="auto"/>
          <w:sz w:val="24"/>
          <w:highlight w:val="none"/>
        </w:rPr>
      </w:pPr>
      <w:r>
        <w:rPr>
          <w:rFonts w:ascii="宋体" w:hAnsi="宋体"/>
          <w:color w:val="auto"/>
          <w:sz w:val="24"/>
          <w:highlight w:val="none"/>
        </w:rPr>
        <w:t xml:space="preserve">开户银行名称：</w:t>
      </w:r>
      <w:r/>
    </w:p>
    <w:p>
      <w:pPr>
        <w:spacing w:line="500" w:lineRule="exact"/>
        <w:rPr>
          <w:rFonts w:ascii="宋体" w:hAnsi="宋体"/>
          <w:color w:val="auto"/>
          <w:sz w:val="24"/>
          <w:highlight w:val="none"/>
        </w:rPr>
      </w:pPr>
      <w:r>
        <w:rPr>
          <w:rFonts w:ascii="宋体" w:hAnsi="宋体"/>
          <w:color w:val="auto"/>
          <w:sz w:val="24"/>
          <w:highlight w:val="none"/>
        </w:rPr>
        <w:t xml:space="preserve">开户银行地址：</w:t>
      </w:r>
      <w:r/>
    </w:p>
    <w:p>
      <w:pPr>
        <w:spacing w:line="500" w:lineRule="exact"/>
        <w:rPr>
          <w:rFonts w:ascii="宋体" w:hAnsi="宋体"/>
          <w:color w:val="auto"/>
          <w:sz w:val="24"/>
          <w:highlight w:val="none"/>
        </w:rPr>
      </w:pPr>
      <w:r>
        <w:rPr>
          <w:rFonts w:ascii="宋体" w:hAnsi="宋体"/>
          <w:color w:val="auto"/>
          <w:sz w:val="24"/>
          <w:highlight w:val="none"/>
        </w:rPr>
        <w:t xml:space="preserve">帐号：</w:t>
      </w:r>
      <w:r/>
    </w:p>
    <w:p>
      <w:pPr>
        <w:spacing w:line="500" w:lineRule="exact"/>
        <w:rPr>
          <w:rFonts w:ascii="宋体" w:hAnsi="宋体"/>
          <w:color w:val="auto"/>
          <w:sz w:val="24"/>
          <w:highlight w:val="none"/>
        </w:rPr>
      </w:pPr>
      <w:r>
        <w:rPr>
          <w:rFonts w:ascii="宋体" w:hAnsi="宋体"/>
          <w:color w:val="auto"/>
          <w:sz w:val="24"/>
          <w:highlight w:val="none"/>
        </w:rPr>
        <w:t xml:space="preserve">8、其他情况：</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highlight w:val="none"/>
        </w:rPr>
        <w:t xml:space="preserve">就我们所知，兹证明上述声明是真实的、正确的，并提供了全部能提供资料和数据，我们同意遵照贵方要求出示此证明文件。</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Start w:id="129" w:name="_Toc187920271"/>
      <w:r/>
      <w:bookmarkStart w:id="130" w:name="_Toc533495701"/>
      <w:r>
        <w:rPr>
          <w:rFonts w:hint="eastAsia" w:ascii="宋体" w:hAnsi="宋体" w:eastAsia="宋体"/>
          <w:b w:val="0"/>
          <w:color w:val="auto"/>
          <w:highlight w:val="none"/>
        </w:rPr>
        <w:t xml:space="preserve">附件三  投标保证承诺书</w:t>
      </w:r>
      <w:bookmarkEnd w:id="129"/>
      <w:r/>
      <w:r/>
    </w:p>
    <w:p>
      <w:pPr>
        <w:pStyle w:val="702"/>
        <w:jc w:val="center"/>
        <w:spacing w:before="0" w:beforeAutospacing="0" w:after="0" w:afterAutospacing="0" w:line="600" w:lineRule="atLeast"/>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致：苏州市卫康招投标咨询服务有限公司</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我（单位/本人，以下统称我单位）自愿参加（项目名称和采购编号）的投标,并做出如下承诺：</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1.自投标截止时间至本项目发布中标公告为止，撤销投标；</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2.中标后不依法与采购人签订合同；</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3.中标后不按本采购文件规定向采购人提交履约保证金；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4.中标后不按本采购文件规定向贵方缴纳采购代理费。</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二、我单位知晓上述行为的法律后果，承认本承诺书作为贵方（或采购人）要求我单位履行违约赔偿义务的依据作用。</w:t>
      </w:r>
      <w:r/>
    </w:p>
    <w:p>
      <w:pPr>
        <w:rPr>
          <w:rFonts w:ascii="宋体" w:hAnsi="宋体"/>
          <w:color w:val="auto"/>
          <w:highlight w:val="none"/>
        </w:rPr>
      </w:pPr>
      <w:r>
        <w:rPr>
          <w:rFonts w:ascii="宋体" w:hAnsi="宋体"/>
          <w:color w:val="auto"/>
          <w:highlight w:val="none"/>
        </w:rPr>
        <w:t xml:space="preserve">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投标人：（盖公章）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 </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          传真： </w:t>
      </w:r>
      <w:r/>
    </w:p>
    <w:p>
      <w:pPr>
        <w:spacing w:line="360" w:lineRule="auto"/>
        <w:rPr>
          <w:rFonts w:ascii="宋体" w:hAnsi="宋体"/>
          <w:color w:val="auto"/>
          <w:sz w:val="24"/>
          <w:highlight w:val="none"/>
        </w:rPr>
      </w:pPr>
      <w:r>
        <w:rPr>
          <w:rFonts w:hint="eastAsia" w:ascii="宋体" w:hAnsi="宋体"/>
          <w:color w:val="auto"/>
          <w:sz w:val="24"/>
          <w:highlight w:val="none"/>
        </w:rPr>
        <w:t xml:space="preserve">电子邮件：            邮编：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p>
    <w:p>
      <w:pPr>
        <w:pStyle w:val="654"/>
        <w:rPr>
          <w:rFonts w:ascii="宋体" w:hAnsi="宋体" w:eastAsia="宋体"/>
          <w:b w:val="0"/>
          <w:color w:val="auto"/>
          <w:highlight w:val="none"/>
        </w:rPr>
      </w:pPr>
      <w:r>
        <w:rPr>
          <w:rFonts w:ascii="宋体" w:hAnsi="宋体" w:eastAsia="宋体"/>
          <w:b w:val="0"/>
          <w:color w:val="auto"/>
          <w:highlight w:val="none"/>
        </w:rPr>
        <w:br w:type="page" w:clear="all"/>
      </w:r>
      <w:bookmarkEnd w:id="130"/>
      <w:r/>
      <w:bookmarkStart w:id="131" w:name="_Toc187920272"/>
      <w:r>
        <w:rPr>
          <w:rFonts w:hint="eastAsia" w:ascii="宋体" w:hAnsi="宋体" w:eastAsia="宋体"/>
          <w:b w:val="0"/>
          <w:color w:val="auto"/>
          <w:highlight w:val="none"/>
        </w:rPr>
        <w:t xml:space="preserve">附件四  中小企业声明函</w:t>
      </w:r>
      <w:bookmarkEnd w:id="131"/>
      <w:r/>
      <w:r/>
    </w:p>
    <w:p>
      <w:pPr>
        <w:ind w:firstLine="720"/>
        <w:jc w:val="left"/>
        <w:widowControl/>
        <w:rPr>
          <w:rFonts w:ascii="宋体" w:hAnsi="宋体"/>
          <w:color w:val="auto"/>
          <w:sz w:val="24"/>
          <w:szCs w:val="24"/>
          <w:highlight w:val="none"/>
        </w:rPr>
      </w:pPr>
      <w:r>
        <w:rPr>
          <w:rFonts w:ascii="宋体" w:hAnsi="宋体"/>
          <w:color w:val="auto"/>
          <w:sz w:val="24"/>
          <w:szCs w:val="24"/>
          <w:highlight w:val="none"/>
        </w:rPr>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w:t>
      </w:r>
      <w:r>
        <w:rPr>
          <w:rFonts w:ascii="宋体" w:hAnsi="宋体"/>
          <w:color w:val="auto"/>
          <w:sz w:val="24"/>
          <w:szCs w:val="24"/>
          <w:highlight w:val="none"/>
        </w:rPr>
        <w:t xml:space="preserve">财库﹝2020﹞46 号）</w:t>
      </w:r>
      <w:r>
        <w:rPr>
          <w:rFonts w:hint="eastAsia" w:ascii="宋体" w:hAnsi="宋体"/>
          <w:color w:val="auto"/>
          <w:sz w:val="24"/>
          <w:szCs w:val="24"/>
          <w:highlight w:val="none"/>
        </w:rPr>
        <w:t xml:space="preserve">的规定，本公司参加（单位名称）的（项目名称）采购活动，提供的货物</w:t>
      </w:r>
      <w:r>
        <w:rPr>
          <w:rFonts w:hint="eastAsia" w:ascii="宋体" w:hAnsi="宋体"/>
          <w:color w:val="auto"/>
          <w:sz w:val="32"/>
          <w:szCs w:val="32"/>
          <w:highlight w:val="none"/>
          <w:u w:val="single"/>
          <w:shd w:val="pct15" w:color="auto" w:fill="ffffff"/>
        </w:rPr>
        <w:t xml:space="preserve">全部</w:t>
      </w:r>
      <w:r>
        <w:rPr>
          <w:rFonts w:hint="eastAsia" w:ascii="宋体" w:hAnsi="宋体"/>
          <w:color w:val="auto"/>
          <w:sz w:val="24"/>
          <w:szCs w:val="24"/>
          <w:highlight w:val="none"/>
        </w:rPr>
        <w:t xml:space="preserve">由符合政策要求的中小企业制造。相关企业的具体情况如下：</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正电子发射及X射线计算机断层成像系统（PET/CT)</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ascii="宋体" w:hAnsi="宋体" w:cs="宋体"/>
          <w:color w:val="auto"/>
          <w:sz w:val="24"/>
          <w:szCs w:val="24"/>
          <w:highlight w:val="none"/>
          <w:u w:val="single"/>
        </w:rPr>
        <w:t xml:space="preserve">防护通风橱</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 </w:t>
      </w:r>
      <w:r>
        <w:rPr>
          <w:rFonts w:hint="eastAsia" w:ascii="宋体" w:hAnsi="宋体" w:cs="宋体"/>
          <w:color w:val="auto"/>
          <w:sz w:val="24"/>
          <w:szCs w:val="24"/>
          <w:highlight w:val="none"/>
          <w:u w:val="single"/>
        </w:rPr>
        <w:t xml:space="preserve">注射器防护套</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放射性药物残留监测系统</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软件及信息服务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手足污染监测系统</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软件及信息服务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放射性废弃物铅箱</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铅屏风</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left="718" w:firstLine="98"/>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便携式个人剂量报警仪</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铅衣</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围脖</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眼镜</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手套</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F18全自动核素分装系统</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软件及信息服务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活度计</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工业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u w:val="single"/>
        </w:rPr>
        <w:t xml:space="preserve">核医学科管理系统</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软件及信息服务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行业；制造商为（企业名称 ），从业人员</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万元，属于（中型企业、小型企业、微型企业）； </w:t>
      </w:r>
      <w:r/>
    </w:p>
    <w:p>
      <w:pPr>
        <w:pStyle w:val="672"/>
        <w:rPr>
          <w:rFonts w:eastAsiaTheme="minorEastAsia"/>
          <w:color w:val="auto"/>
          <w:highlight w:val="none"/>
        </w:rPr>
      </w:pPr>
      <w:r>
        <w:rPr>
          <w:rFonts w:eastAsiaTheme="minorEastAsia"/>
          <w:color w:val="auto"/>
          <w:highlight w:val="none"/>
        </w:rPr>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 </w:t>
      </w:r>
      <w:r/>
    </w:p>
    <w:p>
      <w:pPr>
        <w:pStyle w:val="672"/>
        <w:spacing w:line="360" w:lineRule="auto"/>
        <w:rPr>
          <w:color w:val="auto"/>
          <w:highlight w:val="none"/>
        </w:rPr>
      </w:pPr>
      <w:r>
        <w:rPr>
          <w:color w:val="auto"/>
          <w:highlight w:val="none"/>
        </w:rPr>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 为大企业的情形，也不存在与大企业的负责人为同一人的情形。</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 </w:t>
      </w:r>
      <w:r/>
    </w:p>
    <w:p>
      <w:pPr>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right"/>
        <w:widowControl/>
        <w:rPr>
          <w:rFonts w:ascii="宋体" w:hAnsi="宋体"/>
          <w:color w:val="auto"/>
          <w:sz w:val="24"/>
          <w:szCs w:val="24"/>
          <w:highlight w:val="none"/>
        </w:rPr>
      </w:pPr>
      <w:r>
        <w:rPr>
          <w:rFonts w:hint="eastAsia" w:ascii="宋体" w:hAnsi="宋体"/>
          <w:color w:val="auto"/>
          <w:sz w:val="24"/>
          <w:szCs w:val="24"/>
          <w:highlight w:val="none"/>
        </w:rPr>
        <w:t xml:space="preserve">企业名称（投标人盖章）： </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6240"/>
        <w:jc w:val="left"/>
        <w:widowControl/>
        <w:rPr>
          <w:rFonts w:ascii="宋体" w:hAnsi="宋体"/>
          <w:color w:val="auto"/>
          <w:sz w:val="24"/>
          <w:szCs w:val="24"/>
          <w:highlight w:val="none"/>
        </w:rPr>
      </w:pPr>
      <w:r>
        <w:rPr>
          <w:rFonts w:hint="eastAsia" w:ascii="宋体" w:hAnsi="宋体"/>
          <w:color w:val="auto"/>
          <w:sz w:val="24"/>
          <w:szCs w:val="24"/>
          <w:highlight w:val="none"/>
        </w:rPr>
        <w:t xml:space="preserve">日 期：</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pStyle w:val="672"/>
        <w:rPr>
          <w:color w:val="auto"/>
          <w:highlight w:val="none"/>
        </w:rPr>
      </w:pPr>
      <w:r>
        <w:rPr>
          <w:color w:val="auto"/>
          <w:highlight w:val="none"/>
        </w:rPr>
      </w:r>
      <w:r/>
    </w:p>
    <w:p>
      <w:pPr>
        <w:pStyle w:val="672"/>
        <w:rPr>
          <w:color w:val="auto"/>
          <w:highlight w:val="none"/>
        </w:rPr>
      </w:pPr>
      <w:r>
        <w:rPr>
          <w:color w:val="auto"/>
          <w:highlight w:val="none"/>
        </w:rPr>
      </w:r>
      <w:r/>
    </w:p>
    <w:p>
      <w:pPr>
        <w:spacing w:line="540" w:lineRule="exact"/>
        <w:rPr>
          <w:rFonts w:ascii="宋体" w:hAnsi="宋体"/>
          <w:color w:val="auto"/>
          <w:sz w:val="24"/>
          <w:szCs w:val="24"/>
          <w:highlight w:val="none"/>
        </w:rPr>
      </w:pPr>
      <w:r>
        <w:rPr>
          <w:rFonts w:ascii="宋体" w:hAnsi="宋体"/>
          <w:color w:val="auto"/>
          <w:sz w:val="24"/>
          <w:szCs w:val="24"/>
          <w:highlight w:val="none"/>
        </w:rPr>
        <w:t xml:space="preserve">（从业人员、营业收入、资产总额填报上一年度数据；无上一年度数据的新成立企业可不填报。行业划分标准依据工信部联企业[2011]300号文的规定填写。可通过该网站查询</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711"/>
          <w:rFonts w:ascii="宋体" w:hAnsi="宋体"/>
          <w:color w:val="auto"/>
          <w:sz w:val="24"/>
          <w:szCs w:val="24"/>
          <w:highlight w:val="none"/>
        </w:rPr>
        <w:t xml:space="preserve">http://202.106.120.146/baosong/appweb/orgScale.html</w:t>
      </w:r>
      <w:r>
        <w:rPr>
          <w:rStyle w:val="711"/>
          <w:rFonts w:ascii="宋体" w:hAnsi="宋体"/>
          <w:color w:val="auto"/>
          <w:sz w:val="24"/>
          <w:szCs w:val="24"/>
          <w:highlight w:val="none"/>
        </w:rPr>
        <w:fldChar w:fldCharType="end"/>
      </w:r>
      <w:r>
        <w:rPr>
          <w:rFonts w:ascii="宋体" w:hAnsi="宋体"/>
          <w:color w:val="auto"/>
          <w:sz w:val="24"/>
          <w:szCs w:val="24"/>
          <w:highlight w:val="none"/>
        </w:rPr>
        <w:t xml:space="preserve">）</w:t>
      </w:r>
      <w:r/>
    </w:p>
    <w:p>
      <w:pPr>
        <w:rPr>
          <w:color w:val="auto"/>
          <w:highlight w:val="none"/>
        </w:rPr>
      </w:pPr>
      <w:r>
        <w:rPr>
          <w:color w:val="auto"/>
          <w:highlight w:val="none"/>
        </w:rPr>
      </w:r>
      <w:r/>
    </w:p>
    <w:p>
      <w:pPr>
        <w:spacing w:line="54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pStyle w:val="654"/>
        <w:rPr>
          <w:rFonts w:ascii="宋体" w:hAnsi="宋体" w:eastAsia="宋体"/>
          <w:b w:val="0"/>
          <w:color w:val="auto"/>
          <w:highlight w:val="none"/>
        </w:rPr>
      </w:pPr>
      <w:r/>
      <w:bookmarkStart w:id="132" w:name="_Toc5174586"/>
      <w:r/>
      <w:bookmarkStart w:id="133" w:name="_Toc5174864"/>
      <w:r>
        <w:rPr>
          <w:rFonts w:ascii="宋体" w:hAnsi="宋体" w:eastAsia="宋体"/>
          <w:b w:val="0"/>
          <w:color w:val="auto"/>
          <w:highlight w:val="none"/>
        </w:rPr>
        <w:br w:type="page" w:clear="all"/>
      </w:r>
      <w:bookmarkStart w:id="134" w:name="_Toc187920273"/>
      <w:r>
        <w:rPr>
          <w:rFonts w:hint="eastAsia" w:ascii="宋体" w:hAnsi="宋体" w:eastAsia="宋体"/>
          <w:b w:val="0"/>
          <w:color w:val="auto"/>
          <w:highlight w:val="none"/>
        </w:rPr>
        <w:t xml:space="preserve">附件五  残疾人福利性单位声明函</w:t>
      </w:r>
      <w:bookmarkEnd w:id="132"/>
      <w:r/>
      <w:bookmarkEnd w:id="133"/>
      <w:r/>
      <w:bookmarkEnd w:id="134"/>
      <w:r/>
      <w:r/>
    </w:p>
    <w:p>
      <w:pPr>
        <w:rPr>
          <w:rFonts w:ascii="宋体" w:hAnsi="宋体"/>
          <w:color w:val="auto"/>
          <w:highlight w:val="none"/>
        </w:rPr>
      </w:pPr>
      <w:r>
        <w:rPr>
          <w:rFonts w:ascii="宋体" w:hAnsi="宋体"/>
          <w:color w:val="auto"/>
          <w:highlight w:val="none"/>
        </w:rPr>
      </w:r>
      <w:r/>
    </w:p>
    <w:p>
      <w:pPr>
        <w:ind w:firstLine="48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70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本单位对上述声明的真实性负责。如有虚假，将依法承担相应责任。</w:t>
      </w:r>
      <w:r/>
    </w:p>
    <w:p>
      <w:pPr>
        <w:spacing w:line="70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right="960" w:firstLine="552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单位名称（盖章）：</w:t>
      </w:r>
      <w:r/>
    </w:p>
    <w:p>
      <w:pPr>
        <w:ind w:right="960" w:firstLine="552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w:t>
      </w:r>
      <w:r/>
    </w:p>
    <w:p>
      <w:pPr>
        <w:rPr>
          <w:rFonts w:ascii="宋体" w:hAnsi="宋体"/>
          <w:color w:val="auto"/>
          <w:highlight w:val="none"/>
        </w:rPr>
      </w:pPr>
      <w:r>
        <w:rPr>
          <w:rFonts w:ascii="宋体" w:hAnsi="宋体"/>
          <w:color w:val="auto"/>
          <w:highlight w:val="none"/>
        </w:rPr>
      </w:r>
      <w:r/>
    </w:p>
    <w:p>
      <w:pPr>
        <w:pStyle w:val="672"/>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pStyle w:val="672"/>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pStyle w:val="67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（注：残疾人福利性单位视同小型、微型企业，享受促进中小企业发展的政府采购政策）</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ind w:firstLine="420"/>
        <w:jc w:val="center"/>
        <w:spacing w:line="400" w:lineRule="exact"/>
        <w:rPr>
          <w:rFonts w:hint="eastAsia" w:ascii="宋体" w:hAnsi="宋体" w:eastAsia="宋体" w:cs="Times New Roman"/>
          <w:b w:val="0"/>
          <w:bCs/>
          <w:color w:val="auto"/>
          <w:sz w:val="28"/>
          <w:szCs w:val="28"/>
          <w:highlight w:val="none"/>
          <w:lang w:val="en-US" w:eastAsia="zh-CN" w:bidi="ar-SA"/>
        </w:rPr>
      </w:pPr>
      <w:r>
        <w:rPr>
          <w:rFonts w:hint="eastAsia" w:ascii="宋体" w:hAnsi="宋体" w:eastAsia="宋体" w:cs="Times New Roman"/>
          <w:b w:val="0"/>
          <w:bCs/>
          <w:color w:val="auto"/>
          <w:sz w:val="28"/>
          <w:szCs w:val="28"/>
          <w:highlight w:val="none"/>
          <w:lang w:val="en-US" w:eastAsia="zh-CN" w:bidi="ar-SA"/>
        </w:rPr>
        <w:t xml:space="preserve">附件六   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u w:val="single"/>
          <w:lang w:val="zh-CN"/>
        </w:rPr>
        <w:t xml:space="preserve">正电子发射及X射线计算机断层成像系统（PET/CT)</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u w:val="single"/>
          <w:lang w:val="zh-CN"/>
        </w:rPr>
        <w:t xml:space="preserve">防护通风橱</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注射器防护套</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strike/>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放射性药物残留监测系统</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手足污染监测系统</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放射性废弃物铅箱</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铅屏风</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便携式个人剂量报警仪</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铅衣</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围脖</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眼镜</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strike/>
          <w:color w:val="auto"/>
          <w:sz w:val="24"/>
          <w:szCs w:val="24"/>
          <w:highlight w:val="none"/>
          <w:lang w:val="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手套</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F18全自动核素分装系统</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活度计</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核医学科管理系统</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strike/>
          <w:color w:val="auto"/>
          <w:sz w:val="24"/>
          <w:szCs w:val="24"/>
          <w:highlight w:val="none"/>
          <w:lang w:val="zh-CN"/>
        </w:rPr>
      </w:pPr>
      <w:r>
        <w:rPr>
          <w:rFonts w:hint="eastAsia" w:ascii="宋体" w:hAnsi="宋体" w:cs="宋体"/>
          <w:strike/>
          <w:color w:val="auto"/>
          <w:sz w:val="24"/>
          <w:szCs w:val="24"/>
          <w:highlight w:val="none"/>
          <w:lang w:val="zh-CN"/>
        </w:rPr>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本公司（单位）对上述声明内容的真实性负责。如有虚假，愿承担相应法律责任。</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14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公司（单位）名称（盖章）：　</w:t>
      </w:r>
      <w:r/>
    </w:p>
    <w:p>
      <w:pPr>
        <w:ind w:firstLine="558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年　月　日</w:t>
      </w:r>
      <w:r/>
    </w:p>
    <w:p>
      <w:pPr>
        <w:pStyle w:val="70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0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0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70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70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70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70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70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rFonts w:hint="eastAsia"/>
        <w:szCs w:val="21"/>
      </w:rPr>
      <w:t xml:space="preserve">页/共</w:t>
    </w:r>
    <w:r>
      <w:rPr>
        <w:rFonts w:hint="eastAsia"/>
      </w:rPr>
      <w:t xml:space="preserve">64</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709"/>
      </w:rPr>
      <w:framePr w:wrap="around" w:vAnchor="text" w:hAnchor="margin" w:xAlign="right" w:y="1"/>
    </w:pPr>
    <w:r>
      <w:fldChar w:fldCharType="begin"/>
    </w:r>
    <w:r>
      <w:rPr>
        <w:rStyle w:val="709"/>
      </w:rPr>
      <w:instrText xml:space="preserve">PAGE  </w:instrText>
    </w:r>
    <w:r>
      <w:fldChar w:fldCharType="separate"/>
    </w:r>
    <w:r>
      <w:rPr>
        <w:rStyle w:val="709"/>
      </w:rPr>
      <w:t xml:space="preserve">16</w:t>
    </w:r>
    <w:r>
      <w:fldChar w:fldCharType="end"/>
    </w:r>
    <w:r/>
  </w:p>
  <w:p>
    <w:pPr>
      <w:pStyle w:val="6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0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1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decimal"/>
      <w:pStyle w:val="908"/>
      <w:isLgl w:val="false"/>
      <w:suff w:val="tab"/>
      <w:lvlText w:val="%1.%2"/>
      <w:lvlJc w:val="left"/>
      <w:pPr>
        <w:ind w:left="644" w:hanging="360"/>
      </w:pPr>
      <w:rPr>
        <w:rFonts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704"/>
    <w:uiPriority w:val="10"/>
    <w:rPr>
      <w:sz w:val="48"/>
      <w:szCs w:val="48"/>
    </w:rPr>
  </w:style>
  <w:style w:type="character" w:styleId="36">
    <w:name w:val="Subtitle Char"/>
    <w:basedOn w:val="662"/>
    <w:link w:val="692"/>
    <w:uiPriority w:val="11"/>
    <w:rPr>
      <w:sz w:val="24"/>
      <w:szCs w:val="24"/>
    </w:rPr>
  </w:style>
  <w:style w:type="character" w:styleId="38">
    <w:name w:val="Quote Char"/>
    <w:link w:val="727"/>
    <w:uiPriority w:val="29"/>
    <w:rPr>
      <w:i/>
    </w:rPr>
  </w:style>
  <w:style w:type="character" w:styleId="40">
    <w:name w:val="Intense Quote Char"/>
    <w:link w:val="729"/>
    <w:uiPriority w:val="30"/>
    <w:rPr>
      <w:i/>
    </w:rPr>
  </w:style>
  <w:style w:type="character" w:styleId="42">
    <w:name w:val="Header Char"/>
    <w:basedOn w:val="662"/>
    <w:link w:val="686"/>
    <w:uiPriority w:val="99"/>
  </w:style>
  <w:style w:type="character" w:styleId="46">
    <w:name w:val="Caption Char"/>
    <w:basedOn w:val="667"/>
    <w:link w:val="685"/>
    <w:uiPriority w:val="99"/>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3"/>
    <w:uiPriority w:val="99"/>
    <w:rPr>
      <w:sz w:val="18"/>
    </w:rPr>
  </w:style>
  <w:style w:type="character" w:styleId="178">
    <w:name w:val="Endnote Text Char"/>
    <w:link w:val="683"/>
    <w:uiPriority w:val="99"/>
    <w:rPr>
      <w:sz w:val="20"/>
    </w:rPr>
  </w:style>
  <w:style w:type="paragraph" w:styleId="189">
    <w:name w:val="TOC Heading"/>
    <w:uiPriority w:val="39"/>
    <w:unhideWhenUsed/>
  </w:style>
  <w:style w:type="paragraph" w:styleId="65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53">
    <w:name w:val="Heading 1"/>
    <w:basedOn w:val="652"/>
    <w:next w:val="652"/>
    <w:link w:val="863"/>
    <w:uiPriority w:val="9"/>
    <w:qFormat/>
    <w:pPr>
      <w:jc w:val="center"/>
      <w:keepNext/>
      <w:tabs>
        <w:tab w:val="left" w:pos="200" w:leader="none"/>
      </w:tabs>
      <w:outlineLvl w:val="0"/>
    </w:pPr>
    <w:rPr>
      <w:rFonts w:ascii="宋体" w:hAnsi="宋体"/>
      <w:b/>
      <w:sz w:val="36"/>
    </w:rPr>
  </w:style>
  <w:style w:type="paragraph" w:styleId="654">
    <w:name w:val="Heading 2"/>
    <w:basedOn w:val="652"/>
    <w:next w:val="652"/>
    <w:link w:val="864"/>
    <w:uiPriority w:val="9"/>
    <w:qFormat/>
    <w:pPr>
      <w:jc w:val="center"/>
      <w:keepNext/>
      <w:outlineLvl w:val="1"/>
    </w:pPr>
    <w:rPr>
      <w:rFonts w:eastAsia="楷体_GB2312"/>
      <w:b/>
      <w:bCs/>
      <w:sz w:val="28"/>
      <w:szCs w:val="28"/>
    </w:rPr>
  </w:style>
  <w:style w:type="paragraph" w:styleId="655">
    <w:name w:val="Heading 3"/>
    <w:basedOn w:val="652"/>
    <w:next w:val="652"/>
    <w:link w:val="865"/>
    <w:uiPriority w:val="0"/>
    <w:qFormat/>
    <w:pPr>
      <w:jc w:val="center"/>
      <w:keepNext/>
      <w:outlineLvl w:val="2"/>
    </w:pPr>
    <w:rPr>
      <w:rFonts w:ascii="宋体" w:hAnsi="宋体"/>
      <w:sz w:val="28"/>
    </w:rPr>
  </w:style>
  <w:style w:type="paragraph" w:styleId="656">
    <w:name w:val="Heading 4"/>
    <w:basedOn w:val="652"/>
    <w:next w:val="652"/>
    <w:link w:val="717"/>
    <w:uiPriority w:val="0"/>
    <w:qFormat/>
    <w:pPr>
      <w:keepNext/>
      <w:outlineLvl w:val="3"/>
    </w:pPr>
    <w:rPr>
      <w:b/>
      <w:bCs/>
      <w:sz w:val="18"/>
    </w:rPr>
  </w:style>
  <w:style w:type="paragraph" w:styleId="657">
    <w:name w:val="Heading 5"/>
    <w:basedOn w:val="652"/>
    <w:next w:val="652"/>
    <w:link w:val="718"/>
    <w:uiPriority w:val="0"/>
    <w:qFormat/>
    <w:pPr>
      <w:jc w:val="center"/>
      <w:keepNext/>
      <w:outlineLvl w:val="4"/>
    </w:pPr>
    <w:rPr>
      <w:b/>
      <w:bCs/>
      <w:sz w:val="18"/>
    </w:rPr>
  </w:style>
  <w:style w:type="paragraph" w:styleId="658">
    <w:name w:val="Heading 6"/>
    <w:basedOn w:val="652"/>
    <w:next w:val="652"/>
    <w:link w:val="719"/>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21"/>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22"/>
    <w:uiPriority w:val="9"/>
    <w:unhideWhenUsed/>
    <w:qFormat/>
    <w:pPr>
      <w:keepLines/>
      <w:keepNext/>
      <w:spacing w:before="320" w:after="200"/>
      <w:outlineLvl w:val="8"/>
    </w:pPr>
    <w:rPr>
      <w:rFonts w:ascii="Arial" w:hAnsi="Arial" w:eastAsia="Arial" w:cs="Arial"/>
      <w:i/>
      <w:iCs/>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701"/>
      <w:spacing w:after="57"/>
    </w:pPr>
  </w:style>
  <w:style w:type="paragraph" w:styleId="665">
    <w:name w:val="index 8"/>
    <w:basedOn w:val="652"/>
    <w:next w:val="652"/>
    <w:uiPriority w:val="0"/>
    <w:semiHidden/>
    <w:qFormat/>
    <w:pPr>
      <w:ind w:left="1400"/>
    </w:pPr>
  </w:style>
  <w:style w:type="paragraph" w:styleId="666">
    <w:name w:val="Normal Indent"/>
    <w:basedOn w:val="652"/>
    <w:link w:val="867"/>
    <w:uiPriority w:val="0"/>
    <w:qFormat/>
    <w:pPr>
      <w:ind w:firstLine="420"/>
    </w:pPr>
  </w:style>
  <w:style w:type="paragraph" w:styleId="667">
    <w:name w:val="Caption"/>
    <w:basedOn w:val="652"/>
    <w:next w:val="652"/>
    <w:uiPriority w:val="35"/>
    <w:semiHidden/>
    <w:unhideWhenUsed/>
    <w:qFormat/>
    <w:pPr>
      <w:spacing w:line="276" w:lineRule="auto"/>
    </w:pPr>
    <w:rPr>
      <w:b/>
      <w:bCs/>
      <w:color w:val="4f81bd"/>
      <w:sz w:val="18"/>
      <w:szCs w:val="18"/>
    </w:rPr>
  </w:style>
  <w:style w:type="paragraph" w:styleId="668">
    <w:name w:val="index 5"/>
    <w:basedOn w:val="652"/>
    <w:next w:val="652"/>
    <w:uiPriority w:val="0"/>
    <w:semiHidden/>
    <w:qFormat/>
    <w:pPr>
      <w:ind w:left="800"/>
    </w:pPr>
  </w:style>
  <w:style w:type="paragraph" w:styleId="669">
    <w:name w:val="Document Map"/>
    <w:basedOn w:val="652"/>
    <w:uiPriority w:val="0"/>
    <w:semiHidden/>
    <w:qFormat/>
    <w:pPr>
      <w:shd w:val="clear" w:color="auto" w:fill="000080"/>
    </w:pPr>
  </w:style>
  <w:style w:type="paragraph" w:styleId="670">
    <w:name w:val="annotation text"/>
    <w:basedOn w:val="652"/>
    <w:link w:val="868"/>
    <w:uiPriority w:val="0"/>
    <w:qFormat/>
    <w:pPr>
      <w:jc w:val="left"/>
    </w:pPr>
  </w:style>
  <w:style w:type="paragraph" w:styleId="671">
    <w:name w:val="index 6"/>
    <w:basedOn w:val="652"/>
    <w:next w:val="652"/>
    <w:uiPriority w:val="0"/>
    <w:semiHidden/>
    <w:qFormat/>
    <w:pPr>
      <w:ind w:left="1000"/>
    </w:pPr>
  </w:style>
  <w:style w:type="paragraph" w:styleId="672">
    <w:name w:val="Body Text"/>
    <w:basedOn w:val="652"/>
    <w:link w:val="862"/>
    <w:uiPriority w:val="0"/>
    <w:qFormat/>
    <w:rPr>
      <w:rFonts w:ascii="楷体_GB2312" w:hAnsi="Arial" w:eastAsia="楷体_GB2312"/>
      <w:sz w:val="28"/>
    </w:rPr>
  </w:style>
  <w:style w:type="paragraph" w:styleId="673">
    <w:name w:val="Body Text Indent"/>
    <w:basedOn w:val="652"/>
    <w:next w:val="652"/>
    <w:link w:val="869"/>
    <w:uiPriority w:val="0"/>
    <w:qFormat/>
    <w:pPr>
      <w:ind w:firstLine="574"/>
      <w:spacing w:line="312" w:lineRule="atLeast"/>
    </w:pPr>
    <w:rPr>
      <w:rFonts w:ascii="宋体"/>
      <w:sz w:val="28"/>
    </w:rPr>
  </w:style>
  <w:style w:type="paragraph" w:styleId="674">
    <w:name w:val="Block Text"/>
    <w:basedOn w:val="652"/>
    <w:uiPriority w:val="0"/>
    <w:qFormat/>
    <w:pPr>
      <w:ind w:left="1890" w:right="11" w:hanging="1409"/>
      <w:spacing w:before="89"/>
      <w:tabs>
        <w:tab w:val="left" w:pos="822" w:leader="none"/>
        <w:tab w:val="left" w:pos="2205" w:leader="none"/>
        <w:tab w:val="left" w:pos="9000" w:leader="none"/>
      </w:tabs>
    </w:pPr>
    <w:rPr>
      <w:sz w:val="24"/>
    </w:rPr>
  </w:style>
  <w:style w:type="paragraph" w:styleId="675">
    <w:name w:val="index 4"/>
    <w:basedOn w:val="652"/>
    <w:next w:val="652"/>
    <w:uiPriority w:val="0"/>
    <w:semiHidden/>
    <w:qFormat/>
    <w:pPr>
      <w:ind w:left="600"/>
    </w:pPr>
  </w:style>
  <w:style w:type="paragraph" w:styleId="676">
    <w:name w:val="toc 5"/>
    <w:basedOn w:val="652"/>
    <w:next w:val="652"/>
    <w:uiPriority w:val="39"/>
    <w:unhideWhenUsed/>
    <w:qFormat/>
    <w:pPr>
      <w:ind w:left="1134"/>
      <w:spacing w:after="57"/>
    </w:pPr>
  </w:style>
  <w:style w:type="paragraph" w:styleId="677">
    <w:name w:val="toc 3"/>
    <w:basedOn w:val="652"/>
    <w:next w:val="652"/>
    <w:uiPriority w:val="39"/>
    <w:unhideWhenUsed/>
    <w:qFormat/>
    <w:pPr>
      <w:ind w:left="567"/>
      <w:spacing w:after="57"/>
    </w:pPr>
  </w:style>
  <w:style w:type="paragraph" w:styleId="678">
    <w:name w:val="Plain Text"/>
    <w:basedOn w:val="652"/>
    <w:link w:val="920"/>
    <w:uiPriority w:val="0"/>
    <w:qFormat/>
    <w:pPr>
      <w:jc w:val="left"/>
      <w:widowControl/>
    </w:pPr>
    <w:rPr>
      <w:rFonts w:ascii="宋体" w:hAnsi="Courier New" w:eastAsia="楷体_GB2312"/>
      <w:sz w:val="26"/>
    </w:rPr>
  </w:style>
  <w:style w:type="paragraph" w:styleId="679">
    <w:name w:val="toc 8"/>
    <w:basedOn w:val="652"/>
    <w:next w:val="652"/>
    <w:uiPriority w:val="39"/>
    <w:unhideWhenUsed/>
    <w:qFormat/>
    <w:pPr>
      <w:ind w:left="1984"/>
      <w:spacing w:after="57"/>
    </w:pPr>
  </w:style>
  <w:style w:type="paragraph" w:styleId="680">
    <w:name w:val="index 3"/>
    <w:basedOn w:val="652"/>
    <w:next w:val="652"/>
    <w:uiPriority w:val="0"/>
    <w:semiHidden/>
    <w:qFormat/>
    <w:pPr>
      <w:ind w:left="400"/>
    </w:pPr>
  </w:style>
  <w:style w:type="paragraph" w:styleId="681">
    <w:name w:val="Date"/>
    <w:basedOn w:val="652"/>
    <w:next w:val="652"/>
    <w:link w:val="874"/>
    <w:uiPriority w:val="0"/>
    <w:qFormat/>
    <w:pPr>
      <w:spacing w:line="312" w:lineRule="atLeast"/>
    </w:pPr>
    <w:rPr>
      <w:rFonts w:ascii="宋体"/>
      <w:sz w:val="28"/>
    </w:rPr>
  </w:style>
  <w:style w:type="paragraph" w:styleId="682">
    <w:name w:val="Body Text Indent 2"/>
    <w:basedOn w:val="652"/>
    <w:link w:val="875"/>
    <w:uiPriority w:val="0"/>
    <w:qFormat/>
    <w:pPr>
      <w:ind w:left="1890" w:hanging="1409"/>
      <w:tabs>
        <w:tab w:val="left" w:pos="1785" w:leader="none"/>
        <w:tab w:val="left" w:pos="1887" w:leader="none"/>
        <w:tab w:val="left" w:pos="2112" w:leader="none"/>
        <w:tab w:val="left" w:pos="9000" w:leader="none"/>
      </w:tabs>
    </w:pPr>
    <w:rPr>
      <w:sz w:val="24"/>
    </w:rPr>
  </w:style>
  <w:style w:type="paragraph" w:styleId="683">
    <w:name w:val="endnote text"/>
    <w:basedOn w:val="652"/>
    <w:link w:val="860"/>
    <w:uiPriority w:val="99"/>
    <w:semiHidden/>
    <w:unhideWhenUsed/>
    <w:qFormat/>
    <w:rPr>
      <w:sz w:val="20"/>
    </w:rPr>
  </w:style>
  <w:style w:type="paragraph" w:styleId="684">
    <w:name w:val="Balloon Text"/>
    <w:basedOn w:val="652"/>
    <w:link w:val="876"/>
    <w:uiPriority w:val="0"/>
    <w:qFormat/>
    <w:rPr>
      <w:sz w:val="18"/>
      <w:szCs w:val="18"/>
    </w:rPr>
  </w:style>
  <w:style w:type="paragraph" w:styleId="685">
    <w:name w:val="Footer"/>
    <w:basedOn w:val="652"/>
    <w:link w:val="733"/>
    <w:uiPriority w:val="0"/>
    <w:qFormat/>
    <w:pPr>
      <w:jc w:val="left"/>
      <w:tabs>
        <w:tab w:val="center" w:pos="4153" w:leader="none"/>
        <w:tab w:val="right" w:pos="8306" w:leader="none"/>
      </w:tabs>
    </w:pPr>
    <w:rPr>
      <w:sz w:val="18"/>
    </w:rPr>
  </w:style>
  <w:style w:type="paragraph" w:styleId="686">
    <w:name w:val="Header"/>
    <w:basedOn w:val="652"/>
    <w:link w:val="731"/>
    <w:uiPriority w:val="0"/>
    <w:qFormat/>
    <w:pPr>
      <w:jc w:val="center"/>
      <w:tabs>
        <w:tab w:val="center" w:pos="4153" w:leader="none"/>
        <w:tab w:val="right" w:pos="8306" w:leader="none"/>
      </w:tabs>
      <w:pBdr>
        <w:bottom w:val="single" w:color="000000" w:sz="6" w:space="1"/>
      </w:pBdr>
    </w:pPr>
    <w:rPr>
      <w:sz w:val="18"/>
    </w:rPr>
  </w:style>
  <w:style w:type="paragraph" w:styleId="687">
    <w:name w:val="Signature"/>
    <w:basedOn w:val="652"/>
    <w:link w:val="877"/>
    <w:uiPriority w:val="0"/>
    <w:qFormat/>
    <w:pPr>
      <w:jc w:val="center"/>
      <w:spacing w:after="600" w:line="312" w:lineRule="atLeast"/>
    </w:pPr>
    <w:rPr>
      <w:rFonts w:eastAsia="仿宋_GB2312"/>
      <w:sz w:val="24"/>
    </w:rPr>
  </w:style>
  <w:style w:type="paragraph" w:styleId="688">
    <w:name w:val="toc 1"/>
    <w:basedOn w:val="652"/>
    <w:next w:val="652"/>
    <w:uiPriority w:val="39"/>
    <w:unhideWhenUsed/>
    <w:qFormat/>
    <w:pPr>
      <w:spacing w:after="57"/>
    </w:pPr>
  </w:style>
  <w:style w:type="paragraph" w:styleId="689">
    <w:name w:val="toc 4"/>
    <w:basedOn w:val="652"/>
    <w:next w:val="652"/>
    <w:uiPriority w:val="39"/>
    <w:unhideWhenUsed/>
    <w:qFormat/>
    <w:pPr>
      <w:ind w:left="850"/>
      <w:spacing w:after="57"/>
    </w:pPr>
  </w:style>
  <w:style w:type="paragraph" w:styleId="690">
    <w:name w:val="index heading"/>
    <w:basedOn w:val="652"/>
    <w:next w:val="691"/>
    <w:uiPriority w:val="0"/>
    <w:semiHidden/>
    <w:qFormat/>
  </w:style>
  <w:style w:type="paragraph" w:styleId="691">
    <w:name w:val="index 1"/>
    <w:basedOn w:val="652"/>
    <w:next w:val="652"/>
    <w:uiPriority w:val="0"/>
    <w:semiHidden/>
    <w:qFormat/>
  </w:style>
  <w:style w:type="paragraph" w:styleId="692">
    <w:name w:val="Subtitle"/>
    <w:basedOn w:val="652"/>
    <w:next w:val="652"/>
    <w:link w:val="726"/>
    <w:uiPriority w:val="11"/>
    <w:qFormat/>
    <w:pPr>
      <w:spacing w:before="200" w:after="200"/>
    </w:pPr>
    <w:rPr>
      <w:sz w:val="24"/>
      <w:szCs w:val="24"/>
    </w:rPr>
  </w:style>
  <w:style w:type="paragraph" w:styleId="693">
    <w:name w:val="footnote text"/>
    <w:basedOn w:val="652"/>
    <w:link w:val="859"/>
    <w:uiPriority w:val="99"/>
    <w:semiHidden/>
    <w:unhideWhenUsed/>
    <w:qFormat/>
    <w:pPr>
      <w:spacing w:after="40"/>
    </w:pPr>
    <w:rPr>
      <w:sz w:val="18"/>
    </w:rPr>
  </w:style>
  <w:style w:type="paragraph" w:styleId="694">
    <w:name w:val="toc 6"/>
    <w:basedOn w:val="652"/>
    <w:next w:val="652"/>
    <w:uiPriority w:val="39"/>
    <w:unhideWhenUsed/>
    <w:qFormat/>
    <w:pPr>
      <w:ind w:left="1417"/>
      <w:spacing w:after="57"/>
    </w:pPr>
  </w:style>
  <w:style w:type="paragraph" w:styleId="695">
    <w:name w:val="Body Text Indent 3"/>
    <w:basedOn w:val="652"/>
    <w:uiPriority w:val="0"/>
    <w:qFormat/>
    <w:pPr>
      <w:ind w:firstLine="555"/>
    </w:pPr>
    <w:rPr>
      <w:b/>
      <w:bCs/>
      <w:sz w:val="28"/>
      <w:u w:val="single"/>
    </w:rPr>
  </w:style>
  <w:style w:type="paragraph" w:styleId="696">
    <w:name w:val="index 7"/>
    <w:basedOn w:val="652"/>
    <w:next w:val="652"/>
    <w:uiPriority w:val="0"/>
    <w:semiHidden/>
    <w:qFormat/>
    <w:pPr>
      <w:ind w:left="1200"/>
    </w:pPr>
  </w:style>
  <w:style w:type="paragraph" w:styleId="697">
    <w:name w:val="index 9"/>
    <w:basedOn w:val="652"/>
    <w:next w:val="652"/>
    <w:uiPriority w:val="0"/>
    <w:semiHidden/>
    <w:qFormat/>
    <w:pPr>
      <w:ind w:left="1600"/>
    </w:pPr>
  </w:style>
  <w:style w:type="paragraph" w:styleId="698">
    <w:name w:val="table of figures"/>
    <w:basedOn w:val="652"/>
    <w:next w:val="652"/>
    <w:uiPriority w:val="0"/>
    <w:semiHidden/>
    <w:qFormat/>
    <w:pPr>
      <w:ind w:left="840" w:hanging="420"/>
    </w:pPr>
  </w:style>
  <w:style w:type="paragraph" w:styleId="699">
    <w:name w:val="toc 2"/>
    <w:basedOn w:val="652"/>
    <w:next w:val="652"/>
    <w:uiPriority w:val="39"/>
    <w:unhideWhenUsed/>
    <w:qFormat/>
    <w:pPr>
      <w:ind w:left="283"/>
      <w:spacing w:after="57"/>
    </w:pPr>
  </w:style>
  <w:style w:type="paragraph" w:styleId="700">
    <w:name w:val="toc 9"/>
    <w:basedOn w:val="652"/>
    <w:next w:val="652"/>
    <w:uiPriority w:val="39"/>
    <w:unhideWhenUsed/>
    <w:qFormat/>
    <w:pPr>
      <w:ind w:left="2268"/>
      <w:spacing w:after="57"/>
    </w:pPr>
  </w:style>
  <w:style w:type="paragraph" w:styleId="701">
    <w:name w:val="HTML Preformatted"/>
    <w:basedOn w:val="652"/>
    <w:link w:val="8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02">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703">
    <w:name w:val="index 2"/>
    <w:basedOn w:val="652"/>
    <w:next w:val="652"/>
    <w:uiPriority w:val="0"/>
    <w:semiHidden/>
    <w:qFormat/>
    <w:pPr>
      <w:ind w:left="200"/>
    </w:pPr>
  </w:style>
  <w:style w:type="paragraph" w:styleId="704">
    <w:name w:val="Title"/>
    <w:basedOn w:val="652"/>
    <w:next w:val="652"/>
    <w:link w:val="725"/>
    <w:uiPriority w:val="10"/>
    <w:qFormat/>
    <w:pPr>
      <w:contextualSpacing/>
      <w:spacing w:before="300" w:after="200"/>
    </w:pPr>
    <w:rPr>
      <w:sz w:val="48"/>
      <w:szCs w:val="48"/>
    </w:rPr>
  </w:style>
  <w:style w:type="paragraph" w:styleId="705">
    <w:name w:val="annotation subject"/>
    <w:basedOn w:val="670"/>
    <w:next w:val="670"/>
    <w:link w:val="884"/>
    <w:uiPriority w:val="0"/>
    <w:qFormat/>
    <w:rPr>
      <w:b/>
      <w:bCs/>
    </w:rPr>
  </w:style>
  <w:style w:type="table" w:styleId="706">
    <w:name w:val="Table Grid"/>
    <w:basedOn w:val="6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uiPriority w:val="22"/>
    <w:qFormat/>
    <w:rPr>
      <w:b/>
      <w:bCs/>
    </w:rPr>
  </w:style>
  <w:style w:type="character" w:styleId="708">
    <w:name w:val="endnote reference"/>
    <w:uiPriority w:val="99"/>
    <w:semiHidden/>
    <w:unhideWhenUsed/>
    <w:qFormat/>
    <w:rPr>
      <w:vertAlign w:val="superscript"/>
    </w:rPr>
  </w:style>
  <w:style w:type="character" w:styleId="709">
    <w:name w:val="page number"/>
    <w:uiPriority w:val="0"/>
    <w:qFormat/>
  </w:style>
  <w:style w:type="character" w:styleId="710">
    <w:name w:val="Emphasis"/>
    <w:basedOn w:val="662"/>
    <w:uiPriority w:val="20"/>
    <w:qFormat/>
    <w:rPr>
      <w:i/>
      <w:iCs/>
    </w:rPr>
  </w:style>
  <w:style w:type="character" w:styleId="711">
    <w:name w:val="Hyperlink"/>
    <w:uiPriority w:val="99"/>
    <w:qFormat/>
    <w:rPr>
      <w:color w:val="333333"/>
      <w:u w:val="none"/>
    </w:rPr>
  </w:style>
  <w:style w:type="character" w:styleId="712">
    <w:name w:val="annotation reference"/>
    <w:uiPriority w:val="0"/>
    <w:qFormat/>
    <w:rPr>
      <w:sz w:val="21"/>
      <w:szCs w:val="21"/>
    </w:rPr>
  </w:style>
  <w:style w:type="character" w:styleId="713">
    <w:name w:val="footnote reference"/>
    <w:uiPriority w:val="99"/>
    <w:unhideWhenUsed/>
    <w:qFormat/>
    <w:rPr>
      <w:vertAlign w:val="superscript"/>
    </w:rPr>
  </w:style>
  <w:style w:type="character" w:styleId="714" w:customStyle="1">
    <w:name w:val="Heading 1 Char"/>
    <w:uiPriority w:val="9"/>
    <w:qFormat/>
    <w:rPr>
      <w:rFonts w:ascii="Arial" w:hAnsi="Arial" w:eastAsia="Arial" w:cs="Arial"/>
      <w:sz w:val="40"/>
      <w:szCs w:val="40"/>
    </w:rPr>
  </w:style>
  <w:style w:type="character" w:styleId="715" w:customStyle="1">
    <w:name w:val="Heading 2 Char"/>
    <w:uiPriority w:val="9"/>
    <w:qFormat/>
    <w:rPr>
      <w:rFonts w:ascii="Arial" w:hAnsi="Arial" w:eastAsia="Arial" w:cs="Arial"/>
      <w:sz w:val="34"/>
    </w:rPr>
  </w:style>
  <w:style w:type="character" w:styleId="716" w:customStyle="1">
    <w:name w:val="Heading 3 Char"/>
    <w:uiPriority w:val="9"/>
    <w:qFormat/>
    <w:rPr>
      <w:rFonts w:ascii="Arial" w:hAnsi="Arial" w:eastAsia="Arial" w:cs="Arial"/>
      <w:sz w:val="30"/>
      <w:szCs w:val="30"/>
    </w:rPr>
  </w:style>
  <w:style w:type="character" w:styleId="717" w:customStyle="1">
    <w:name w:val="标题 4 Char"/>
    <w:link w:val="656"/>
    <w:uiPriority w:val="9"/>
    <w:qFormat/>
    <w:rPr>
      <w:rFonts w:ascii="Arial" w:hAnsi="Arial" w:eastAsia="Arial" w:cs="Arial"/>
      <w:b/>
      <w:bCs/>
      <w:sz w:val="26"/>
      <w:szCs w:val="26"/>
    </w:rPr>
  </w:style>
  <w:style w:type="character" w:styleId="718" w:customStyle="1">
    <w:name w:val="标题 5 Char"/>
    <w:link w:val="657"/>
    <w:uiPriority w:val="9"/>
    <w:qFormat/>
    <w:rPr>
      <w:rFonts w:ascii="Arial" w:hAnsi="Arial" w:eastAsia="Arial" w:cs="Arial"/>
      <w:b/>
      <w:bCs/>
      <w:sz w:val="24"/>
      <w:szCs w:val="24"/>
    </w:rPr>
  </w:style>
  <w:style w:type="character" w:styleId="719" w:customStyle="1">
    <w:name w:val="标题 6 Char"/>
    <w:link w:val="658"/>
    <w:uiPriority w:val="9"/>
    <w:qFormat/>
    <w:rPr>
      <w:rFonts w:ascii="Arial" w:hAnsi="Arial" w:eastAsia="Arial" w:cs="Arial"/>
      <w:b/>
      <w:bCs/>
      <w:sz w:val="22"/>
      <w:szCs w:val="22"/>
    </w:rPr>
  </w:style>
  <w:style w:type="character" w:styleId="720" w:customStyle="1">
    <w:name w:val="标题 7 Char"/>
    <w:link w:val="659"/>
    <w:uiPriority w:val="9"/>
    <w:qFormat/>
    <w:rPr>
      <w:rFonts w:ascii="Arial" w:hAnsi="Arial" w:eastAsia="Arial" w:cs="Arial"/>
      <w:b/>
      <w:bCs/>
      <w:i/>
      <w:iCs/>
      <w:sz w:val="22"/>
      <w:szCs w:val="22"/>
    </w:rPr>
  </w:style>
  <w:style w:type="character" w:styleId="721" w:customStyle="1">
    <w:name w:val="标题 8 Char"/>
    <w:link w:val="660"/>
    <w:uiPriority w:val="9"/>
    <w:qFormat/>
    <w:rPr>
      <w:rFonts w:ascii="Arial" w:hAnsi="Arial" w:eastAsia="Arial" w:cs="Arial"/>
      <w:i/>
      <w:iCs/>
      <w:sz w:val="22"/>
      <w:szCs w:val="22"/>
    </w:rPr>
  </w:style>
  <w:style w:type="character" w:styleId="722" w:customStyle="1">
    <w:name w:val="标题 9 Char"/>
    <w:link w:val="661"/>
    <w:uiPriority w:val="9"/>
    <w:qFormat/>
    <w:rPr>
      <w:rFonts w:ascii="Arial" w:hAnsi="Arial" w:eastAsia="Arial" w:cs="Arial"/>
      <w:i/>
      <w:iCs/>
      <w:sz w:val="21"/>
      <w:szCs w:val="21"/>
    </w:rPr>
  </w:style>
  <w:style w:type="paragraph" w:styleId="723">
    <w:name w:val="List Paragraph"/>
    <w:basedOn w:val="652"/>
    <w:uiPriority w:val="34"/>
    <w:qFormat/>
    <w:pPr>
      <w:contextualSpacing/>
      <w:ind w:left="720"/>
    </w:pPr>
  </w:style>
  <w:style w:type="paragraph" w:styleId="724">
    <w:name w:val="No Spacing"/>
    <w:uiPriority w:val="1"/>
    <w:qFormat/>
    <w:rPr>
      <w:rFonts w:ascii="Times New Roman" w:hAnsi="Times New Roman" w:eastAsia="宋体" w:cs="Times New Roman"/>
      <w:lang w:val="en-US" w:eastAsia="zh-CN" w:bidi="ar-SA"/>
    </w:rPr>
  </w:style>
  <w:style w:type="character" w:styleId="725" w:customStyle="1">
    <w:name w:val="标题 Char"/>
    <w:link w:val="704"/>
    <w:uiPriority w:val="10"/>
    <w:qFormat/>
    <w:rPr>
      <w:sz w:val="48"/>
      <w:szCs w:val="48"/>
    </w:rPr>
  </w:style>
  <w:style w:type="character" w:styleId="726" w:customStyle="1">
    <w:name w:val="副标题 Char"/>
    <w:link w:val="692"/>
    <w:uiPriority w:val="11"/>
    <w:qFormat/>
    <w:rPr>
      <w:sz w:val="24"/>
      <w:szCs w:val="24"/>
    </w:rPr>
  </w:style>
  <w:style w:type="paragraph" w:styleId="727">
    <w:name w:val="Quote"/>
    <w:basedOn w:val="652"/>
    <w:next w:val="652"/>
    <w:link w:val="728"/>
    <w:uiPriority w:val="29"/>
    <w:qFormat/>
    <w:pPr>
      <w:ind w:left="720" w:right="720"/>
    </w:pPr>
    <w:rPr>
      <w:i/>
    </w:rPr>
  </w:style>
  <w:style w:type="character" w:styleId="728" w:customStyle="1">
    <w:name w:val="引用 Char"/>
    <w:link w:val="727"/>
    <w:uiPriority w:val="29"/>
    <w:qFormat/>
    <w:rPr>
      <w:i/>
    </w:rPr>
  </w:style>
  <w:style w:type="paragraph" w:styleId="729">
    <w:name w:val="Intense Quote"/>
    <w:basedOn w:val="652"/>
    <w:next w:val="652"/>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明显引用 Char"/>
    <w:link w:val="729"/>
    <w:uiPriority w:val="30"/>
    <w:qFormat/>
    <w:rPr>
      <w:i/>
    </w:rPr>
  </w:style>
  <w:style w:type="character" w:styleId="731" w:customStyle="1">
    <w:name w:val="页眉 Char"/>
    <w:link w:val="686"/>
    <w:uiPriority w:val="99"/>
    <w:qFormat/>
  </w:style>
  <w:style w:type="character" w:styleId="732" w:customStyle="1">
    <w:name w:val="Footer Char"/>
    <w:uiPriority w:val="99"/>
    <w:qFormat/>
  </w:style>
  <w:style w:type="character" w:styleId="733" w:customStyle="1">
    <w:name w:val="页脚 Char"/>
    <w:link w:val="685"/>
    <w:uiPriority w:val="99"/>
    <w:qFormat/>
  </w:style>
  <w:style w:type="table" w:styleId="7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7" w:customStyle="1">
    <w:name w:val="无格式表格 31"/>
    <w:uiPriority w:val="99"/>
    <w:qFormat/>
    <w:tblPr>
      <w:tblCellMar>
        <w:left w:w="0" w:type="dxa"/>
        <w:top w:w="0" w:type="dxa"/>
        <w:right w:w="0" w:type="dxa"/>
        <w:bottom w:w="0" w:type="dxa"/>
      </w:tblCellMar>
    </w:tblPr>
  </w:style>
  <w:style w:type="table" w:styleId="738" w:customStyle="1">
    <w:name w:val="无格式表格 41"/>
    <w:uiPriority w:val="99"/>
    <w:qFormat/>
    <w:tblPr>
      <w:tblCellMar>
        <w:left w:w="0" w:type="dxa"/>
        <w:top w:w="0" w:type="dxa"/>
        <w:right w:w="0" w:type="dxa"/>
        <w:bottom w:w="0" w:type="dxa"/>
      </w:tblCellMar>
    </w:tblPr>
  </w:style>
  <w:style w:type="table" w:styleId="739" w:customStyle="1">
    <w:name w:val="无格式表格 51"/>
    <w:uiPriority w:val="99"/>
    <w:qFormat/>
    <w:tblPr>
      <w:tblCellMar>
        <w:left w:w="0" w:type="dxa"/>
        <w:top w:w="0" w:type="dxa"/>
        <w:right w:w="0" w:type="dxa"/>
        <w:bottom w:w="0" w:type="dxa"/>
      </w:tblCellMar>
    </w:tblPr>
  </w:style>
  <w:style w:type="table" w:styleId="7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9" w:customStyle="1">
    <w:name w:val="清单表 1 浅色1"/>
    <w:uiPriority w:val="99"/>
    <w:qFormat/>
    <w:tblPr>
      <w:tblCellMar>
        <w:left w:w="0" w:type="dxa"/>
        <w:top w:w="0" w:type="dxa"/>
        <w:right w:w="0" w:type="dxa"/>
        <w:bottom w:w="0" w:type="dxa"/>
      </w:tblCellMar>
    </w:tblPr>
  </w:style>
  <w:style w:type="table" w:styleId="790" w:customStyle="1">
    <w:name w:val="List Table 1 Light - Accent 1"/>
    <w:uiPriority w:val="99"/>
    <w:qFormat/>
    <w:tblPr>
      <w:tblCellMar>
        <w:left w:w="0" w:type="dxa"/>
        <w:top w:w="0" w:type="dxa"/>
        <w:right w:w="0" w:type="dxa"/>
        <w:bottom w:w="0" w:type="dxa"/>
      </w:tblCellMar>
    </w:tblPr>
  </w:style>
  <w:style w:type="table" w:styleId="791" w:customStyle="1">
    <w:name w:val="List Table 1 Light - Accent 2"/>
    <w:uiPriority w:val="99"/>
    <w:qFormat/>
    <w:tblPr>
      <w:tblCellMar>
        <w:left w:w="0" w:type="dxa"/>
        <w:top w:w="0" w:type="dxa"/>
        <w:right w:w="0" w:type="dxa"/>
        <w:bottom w:w="0" w:type="dxa"/>
      </w:tblCellMar>
    </w:tblPr>
  </w:style>
  <w:style w:type="table" w:styleId="792" w:customStyle="1">
    <w:name w:val="List Table 1 Light - Accent 3"/>
    <w:uiPriority w:val="99"/>
    <w:qFormat/>
    <w:tblPr>
      <w:tblCellMar>
        <w:left w:w="0" w:type="dxa"/>
        <w:top w:w="0" w:type="dxa"/>
        <w:right w:w="0" w:type="dxa"/>
        <w:bottom w:w="0" w:type="dxa"/>
      </w:tblCellMar>
    </w:tblPr>
  </w:style>
  <w:style w:type="table" w:styleId="793" w:customStyle="1">
    <w:name w:val="List Table 1 Light - Accent 4"/>
    <w:uiPriority w:val="99"/>
    <w:qFormat/>
    <w:tblPr>
      <w:tblCellMar>
        <w:left w:w="0" w:type="dxa"/>
        <w:top w:w="0" w:type="dxa"/>
        <w:right w:w="0" w:type="dxa"/>
        <w:bottom w:w="0" w:type="dxa"/>
      </w:tblCellMar>
    </w:tblPr>
  </w:style>
  <w:style w:type="table" w:styleId="794" w:customStyle="1">
    <w:name w:val="List Table 1 Light - Accent 5"/>
    <w:uiPriority w:val="99"/>
    <w:qFormat/>
    <w:tblPr>
      <w:tblCellMar>
        <w:left w:w="0" w:type="dxa"/>
        <w:top w:w="0" w:type="dxa"/>
        <w:right w:w="0" w:type="dxa"/>
        <w:bottom w:w="0" w:type="dxa"/>
      </w:tblCellMar>
    </w:tblPr>
  </w:style>
  <w:style w:type="table" w:styleId="795" w:customStyle="1">
    <w:name w:val="List Table 1 Light - Accent 6"/>
    <w:uiPriority w:val="99"/>
    <w:qFormat/>
    <w:tblPr>
      <w:tblCellMar>
        <w:left w:w="0" w:type="dxa"/>
        <w:top w:w="0" w:type="dxa"/>
        <w:right w:w="0" w:type="dxa"/>
        <w:bottom w:w="0" w:type="dxa"/>
      </w:tblCellMar>
    </w:tblPr>
  </w:style>
  <w:style w:type="table" w:styleId="7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38" w:customStyle="1">
    <w:name w:val="Lined - Accent"/>
    <w:uiPriority w:val="99"/>
    <w:qFormat/>
    <w:rPr>
      <w:color w:val="404040"/>
    </w:rPr>
    <w:tblPr>
      <w:tblCellMar>
        <w:left w:w="0" w:type="dxa"/>
        <w:top w:w="0" w:type="dxa"/>
        <w:right w:w="0" w:type="dxa"/>
        <w:bottom w:w="0" w:type="dxa"/>
      </w:tblCellMar>
    </w:tblPr>
  </w:style>
  <w:style w:type="table" w:styleId="839" w:customStyle="1">
    <w:name w:val="Lined - Accent 1"/>
    <w:uiPriority w:val="99"/>
    <w:qFormat/>
    <w:rPr>
      <w:color w:val="404040"/>
    </w:rPr>
    <w:tblPr>
      <w:tblCellMar>
        <w:left w:w="0" w:type="dxa"/>
        <w:top w:w="0" w:type="dxa"/>
        <w:right w:w="0" w:type="dxa"/>
        <w:bottom w:w="0" w:type="dxa"/>
      </w:tblCellMar>
    </w:tblPr>
  </w:style>
  <w:style w:type="table" w:styleId="840" w:customStyle="1">
    <w:name w:val="Lined - Accent 2"/>
    <w:uiPriority w:val="99"/>
    <w:qFormat/>
    <w:rPr>
      <w:color w:val="404040"/>
    </w:rPr>
    <w:tblPr>
      <w:tblCellMar>
        <w:left w:w="0" w:type="dxa"/>
        <w:top w:w="0" w:type="dxa"/>
        <w:right w:w="0" w:type="dxa"/>
        <w:bottom w:w="0" w:type="dxa"/>
      </w:tblCellMar>
    </w:tblPr>
  </w:style>
  <w:style w:type="table" w:styleId="841" w:customStyle="1">
    <w:name w:val="Lined - Accent 3"/>
    <w:uiPriority w:val="99"/>
    <w:qFormat/>
    <w:rPr>
      <w:color w:val="404040"/>
    </w:rPr>
    <w:tblPr>
      <w:tblCellMar>
        <w:left w:w="0" w:type="dxa"/>
        <w:top w:w="0" w:type="dxa"/>
        <w:right w:w="0" w:type="dxa"/>
        <w:bottom w:w="0" w:type="dxa"/>
      </w:tblCellMar>
    </w:tblPr>
  </w:style>
  <w:style w:type="table" w:styleId="842" w:customStyle="1">
    <w:name w:val="Lined - Accent 4"/>
    <w:uiPriority w:val="99"/>
    <w:qFormat/>
    <w:rPr>
      <w:color w:val="404040"/>
    </w:rPr>
    <w:tblPr>
      <w:tblCellMar>
        <w:left w:w="0" w:type="dxa"/>
        <w:top w:w="0" w:type="dxa"/>
        <w:right w:w="0" w:type="dxa"/>
        <w:bottom w:w="0" w:type="dxa"/>
      </w:tblCellMar>
    </w:tblPr>
  </w:style>
  <w:style w:type="table" w:styleId="843" w:customStyle="1">
    <w:name w:val="Lined - Accent 5"/>
    <w:uiPriority w:val="99"/>
    <w:qFormat/>
    <w:rPr>
      <w:color w:val="404040"/>
    </w:rPr>
    <w:tblPr>
      <w:tblCellMar>
        <w:left w:w="0" w:type="dxa"/>
        <w:top w:w="0" w:type="dxa"/>
        <w:right w:w="0" w:type="dxa"/>
        <w:bottom w:w="0" w:type="dxa"/>
      </w:tblCellMar>
    </w:tblPr>
  </w:style>
  <w:style w:type="table" w:styleId="844" w:customStyle="1">
    <w:name w:val="Lined - Accent 6"/>
    <w:uiPriority w:val="99"/>
    <w:qFormat/>
    <w:rPr>
      <w:color w:val="404040"/>
    </w:rPr>
    <w:tblPr>
      <w:tblCellMar>
        <w:left w:w="0" w:type="dxa"/>
        <w:top w:w="0" w:type="dxa"/>
        <w:right w:w="0" w:type="dxa"/>
        <w:bottom w:w="0" w:type="dxa"/>
      </w:tblCellMar>
    </w:tblPr>
  </w:style>
  <w:style w:type="table" w:styleId="8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9" w:customStyle="1">
    <w:name w:val="脚注文本 Char"/>
    <w:link w:val="693"/>
    <w:uiPriority w:val="99"/>
    <w:qFormat/>
    <w:rPr>
      <w:sz w:val="18"/>
    </w:rPr>
  </w:style>
  <w:style w:type="character" w:styleId="860" w:customStyle="1">
    <w:name w:val="尾注文本 Char"/>
    <w:link w:val="683"/>
    <w:uiPriority w:val="99"/>
    <w:qFormat/>
    <w:rPr>
      <w:sz w:val="20"/>
    </w:rPr>
  </w:style>
  <w:style w:type="paragraph" w:styleId="861" w:customStyle="1">
    <w:name w:val="TOC 标题1"/>
    <w:uiPriority w:val="39"/>
    <w:unhideWhenUsed/>
    <w:qFormat/>
    <w:rPr>
      <w:rFonts w:ascii="Times New Roman" w:hAnsi="Times New Roman" w:eastAsia="宋体" w:cs="Times New Roman"/>
      <w:lang w:val="en-US" w:eastAsia="zh-CN" w:bidi="ar-SA"/>
    </w:rPr>
  </w:style>
  <w:style w:type="character" w:styleId="862" w:customStyle="1">
    <w:name w:val="正文文本 Char1"/>
    <w:link w:val="672"/>
    <w:uiPriority w:val="0"/>
    <w:qFormat/>
    <w:rPr>
      <w:rFonts w:ascii="楷体_GB2312" w:hAnsi="Arial" w:eastAsia="楷体_GB2312"/>
      <w:sz w:val="28"/>
    </w:rPr>
  </w:style>
  <w:style w:type="character" w:styleId="863" w:customStyle="1">
    <w:name w:val="标题 1 Char"/>
    <w:link w:val="653"/>
    <w:uiPriority w:val="9"/>
    <w:qFormat/>
    <w:rPr>
      <w:rFonts w:ascii="宋体" w:hAnsi="宋体"/>
      <w:b/>
      <w:sz w:val="36"/>
    </w:rPr>
  </w:style>
  <w:style w:type="character" w:styleId="864" w:customStyle="1">
    <w:name w:val="标题 2 Char"/>
    <w:link w:val="654"/>
    <w:uiPriority w:val="9"/>
    <w:qFormat/>
    <w:rPr>
      <w:rFonts w:eastAsia="楷体_GB2312"/>
      <w:b/>
      <w:bCs/>
      <w:sz w:val="28"/>
      <w:szCs w:val="28"/>
    </w:rPr>
  </w:style>
  <w:style w:type="character" w:styleId="865" w:customStyle="1">
    <w:name w:val="标题 3 Char"/>
    <w:link w:val="655"/>
    <w:uiPriority w:val="0"/>
    <w:qFormat/>
    <w:rPr>
      <w:rFonts w:ascii="宋体" w:hAnsi="宋体"/>
      <w:sz w:val="28"/>
    </w:rPr>
  </w:style>
  <w:style w:type="paragraph" w:styleId="866" w:customStyle="1">
    <w:name w:val="目录 71"/>
    <w:basedOn w:val="652"/>
    <w:next w:val="652"/>
    <w:uiPriority w:val="0"/>
    <w:semiHidden/>
    <w:qFormat/>
    <w:pPr>
      <w:ind w:left="1260"/>
      <w:jc w:val="left"/>
    </w:pPr>
    <w:rPr>
      <w:szCs w:val="21"/>
    </w:rPr>
  </w:style>
  <w:style w:type="character" w:styleId="867" w:customStyle="1">
    <w:name w:val="正文缩进 Char"/>
    <w:link w:val="666"/>
    <w:uiPriority w:val="0"/>
    <w:qFormat/>
    <w:rPr>
      <w:sz w:val="21"/>
    </w:rPr>
  </w:style>
  <w:style w:type="character" w:styleId="868" w:customStyle="1">
    <w:name w:val="批注文字 Char1"/>
    <w:link w:val="670"/>
    <w:uiPriority w:val="0"/>
    <w:qFormat/>
    <w:rPr>
      <w:sz w:val="21"/>
    </w:rPr>
  </w:style>
  <w:style w:type="character" w:styleId="869" w:customStyle="1">
    <w:name w:val="正文文本缩进 Char"/>
    <w:link w:val="673"/>
    <w:uiPriority w:val="0"/>
    <w:qFormat/>
    <w:rPr>
      <w:rFonts w:ascii="宋体"/>
      <w:sz w:val="28"/>
    </w:rPr>
  </w:style>
  <w:style w:type="paragraph" w:styleId="870" w:customStyle="1">
    <w:name w:val="目录 51"/>
    <w:basedOn w:val="652"/>
    <w:next w:val="652"/>
    <w:uiPriority w:val="0"/>
    <w:semiHidden/>
    <w:qFormat/>
    <w:pPr>
      <w:ind w:left="840"/>
      <w:jc w:val="left"/>
    </w:pPr>
    <w:rPr>
      <w:szCs w:val="21"/>
    </w:rPr>
  </w:style>
  <w:style w:type="paragraph" w:styleId="871" w:customStyle="1">
    <w:name w:val="目录 31"/>
    <w:basedOn w:val="652"/>
    <w:next w:val="652"/>
    <w:uiPriority w:val="0"/>
    <w:semiHidden/>
    <w:qFormat/>
    <w:pPr>
      <w:ind w:left="420"/>
      <w:jc w:val="left"/>
    </w:pPr>
    <w:rPr>
      <w:i/>
      <w:iCs/>
      <w:szCs w:val="24"/>
    </w:rPr>
  </w:style>
  <w:style w:type="character" w:styleId="872" w:customStyle="1">
    <w:name w:val="纯文本 Char"/>
    <w:uiPriority w:val="0"/>
    <w:qFormat/>
    <w:rPr>
      <w:rFonts w:ascii="宋体" w:hAnsi="Courier New"/>
      <w:sz w:val="21"/>
    </w:rPr>
  </w:style>
  <w:style w:type="paragraph" w:styleId="873" w:customStyle="1">
    <w:name w:val="目录 81"/>
    <w:basedOn w:val="652"/>
    <w:next w:val="652"/>
    <w:uiPriority w:val="0"/>
    <w:semiHidden/>
    <w:qFormat/>
    <w:pPr>
      <w:ind w:left="1470"/>
      <w:jc w:val="left"/>
    </w:pPr>
    <w:rPr>
      <w:szCs w:val="21"/>
    </w:rPr>
  </w:style>
  <w:style w:type="character" w:styleId="874" w:customStyle="1">
    <w:name w:val="日期 Char"/>
    <w:link w:val="681"/>
    <w:uiPriority w:val="0"/>
    <w:qFormat/>
    <w:rPr>
      <w:rFonts w:ascii="宋体"/>
      <w:sz w:val="28"/>
    </w:rPr>
  </w:style>
  <w:style w:type="character" w:styleId="875" w:customStyle="1">
    <w:name w:val="正文文本缩进 2 Char"/>
    <w:link w:val="682"/>
    <w:uiPriority w:val="0"/>
    <w:qFormat/>
    <w:rPr>
      <w:sz w:val="24"/>
    </w:rPr>
  </w:style>
  <w:style w:type="character" w:styleId="876" w:customStyle="1">
    <w:name w:val="批注框文本 Char"/>
    <w:link w:val="684"/>
    <w:uiPriority w:val="0"/>
    <w:qFormat/>
    <w:rPr>
      <w:sz w:val="18"/>
      <w:szCs w:val="18"/>
    </w:rPr>
  </w:style>
  <w:style w:type="character" w:styleId="877" w:customStyle="1">
    <w:name w:val="签名 Char2"/>
    <w:link w:val="687"/>
    <w:uiPriority w:val="0"/>
    <w:qFormat/>
    <w:rPr>
      <w:rFonts w:eastAsia="仿宋_GB2312"/>
      <w:sz w:val="24"/>
    </w:rPr>
  </w:style>
  <w:style w:type="paragraph" w:styleId="878" w:customStyle="1">
    <w:name w:val="目录 11"/>
    <w:basedOn w:val="652"/>
    <w:next w:val="652"/>
    <w:uiPriority w:val="39"/>
    <w:qFormat/>
    <w:pPr>
      <w:ind w:left="210"/>
      <w:spacing w:before="100" w:beforeAutospacing="1" w:after="100" w:afterAutospacing="1" w:line="360" w:lineRule="exact"/>
      <w:tabs>
        <w:tab w:val="right" w:pos="9450" w:leader="dot"/>
      </w:tabs>
    </w:pPr>
    <w:rPr>
      <w:b/>
      <w:bCs/>
      <w:caps/>
      <w:sz w:val="28"/>
      <w:szCs w:val="36"/>
    </w:rPr>
  </w:style>
  <w:style w:type="paragraph" w:styleId="879" w:customStyle="1">
    <w:name w:val="目录 41"/>
    <w:basedOn w:val="652"/>
    <w:next w:val="652"/>
    <w:uiPriority w:val="0"/>
    <w:semiHidden/>
    <w:qFormat/>
    <w:pPr>
      <w:ind w:left="630"/>
      <w:jc w:val="left"/>
    </w:pPr>
    <w:rPr>
      <w:szCs w:val="21"/>
    </w:rPr>
  </w:style>
  <w:style w:type="paragraph" w:styleId="880" w:customStyle="1">
    <w:name w:val="目录 61"/>
    <w:basedOn w:val="652"/>
    <w:next w:val="652"/>
    <w:uiPriority w:val="0"/>
    <w:semiHidden/>
    <w:qFormat/>
    <w:pPr>
      <w:ind w:left="1050"/>
      <w:jc w:val="left"/>
    </w:pPr>
    <w:rPr>
      <w:szCs w:val="21"/>
    </w:rPr>
  </w:style>
  <w:style w:type="paragraph" w:styleId="881" w:customStyle="1">
    <w:name w:val="目录 21"/>
    <w:basedOn w:val="652"/>
    <w:next w:val="652"/>
    <w:uiPriority w:val="39"/>
    <w:qFormat/>
    <w:pPr>
      <w:ind w:left="250"/>
      <w:jc w:val="left"/>
      <w:spacing w:line="400" w:lineRule="exact"/>
      <w:tabs>
        <w:tab w:val="right" w:pos="9450" w:leader="dot"/>
      </w:tabs>
    </w:pPr>
    <w:rPr>
      <w:bCs/>
      <w:smallCaps/>
      <w:sz w:val="24"/>
      <w:szCs w:val="24"/>
    </w:rPr>
  </w:style>
  <w:style w:type="paragraph" w:styleId="882" w:customStyle="1">
    <w:name w:val="目录 91"/>
    <w:basedOn w:val="652"/>
    <w:next w:val="652"/>
    <w:uiPriority w:val="0"/>
    <w:semiHidden/>
    <w:qFormat/>
    <w:pPr>
      <w:ind w:left="1680"/>
      <w:jc w:val="left"/>
    </w:pPr>
    <w:rPr>
      <w:szCs w:val="21"/>
    </w:rPr>
  </w:style>
  <w:style w:type="character" w:styleId="883" w:customStyle="1">
    <w:name w:val="HTML 预设格式 Char"/>
    <w:link w:val="701"/>
    <w:uiPriority w:val="0"/>
    <w:qFormat/>
    <w:rPr>
      <w:rFonts w:ascii="Arial" w:hAnsi="Arial" w:cs="Arial"/>
      <w:sz w:val="24"/>
      <w:szCs w:val="24"/>
    </w:rPr>
  </w:style>
  <w:style w:type="character" w:styleId="884" w:customStyle="1">
    <w:name w:val="批注主题 Char"/>
    <w:link w:val="705"/>
    <w:uiPriority w:val="0"/>
    <w:qFormat/>
    <w:rPr>
      <w:b/>
      <w:bCs/>
      <w:sz w:val="21"/>
    </w:rPr>
  </w:style>
  <w:style w:type="character" w:styleId="885" w:customStyle="1">
    <w:name w:val="已访问的超链接1"/>
    <w:uiPriority w:val="0"/>
    <w:qFormat/>
    <w:rPr>
      <w:color w:val="333333"/>
      <w:u w:val="none"/>
    </w:rPr>
  </w:style>
  <w:style w:type="character" w:styleId="886" w:customStyle="1">
    <w:name w:val="font31"/>
    <w:uiPriority w:val="0"/>
    <w:qFormat/>
    <w:rPr>
      <w:rFonts w:hint="eastAsia" w:ascii="宋体" w:hAnsi="宋体" w:eastAsia="宋体" w:cs="宋体"/>
      <w:color w:val="000000"/>
      <w:sz w:val="21"/>
      <w:szCs w:val="21"/>
      <w:u w:val="none"/>
    </w:rPr>
  </w:style>
  <w:style w:type="character" w:styleId="887" w:customStyle="1">
    <w:name w:val="font21"/>
    <w:uiPriority w:val="0"/>
    <w:qFormat/>
    <w:rPr>
      <w:rFonts w:ascii="Arial" w:hAnsi="Arial" w:cs="Arial"/>
      <w:color w:val="000000"/>
      <w:sz w:val="22"/>
      <w:szCs w:val="22"/>
      <w:u w:val="none"/>
    </w:rPr>
  </w:style>
  <w:style w:type="character" w:styleId="888" w:customStyle="1">
    <w:name w:val="font91"/>
    <w:uiPriority w:val="0"/>
    <w:qFormat/>
    <w:rPr>
      <w:rFonts w:ascii="Times New Roman" w:hAnsi="Times New Roman" w:cs="Times New Roman"/>
      <w:color w:val="000000"/>
      <w:sz w:val="24"/>
      <w:szCs w:val="24"/>
      <w:u w:val="none"/>
    </w:rPr>
  </w:style>
  <w:style w:type="character" w:styleId="889" w:customStyle="1">
    <w:name w:val="标2 Char"/>
    <w:link w:val="890"/>
    <w:uiPriority w:val="0"/>
    <w:qFormat/>
    <w:rPr>
      <w:rFonts w:ascii="Arial Narrow" w:hAnsi="Arial Narrow" w:eastAsia="仿宋_GB2312"/>
      <w:sz w:val="24"/>
      <w:szCs w:val="24"/>
    </w:rPr>
  </w:style>
  <w:style w:type="paragraph" w:styleId="890" w:customStyle="1">
    <w:name w:val="标2"/>
    <w:basedOn w:val="652"/>
    <w:link w:val="889"/>
    <w:uiPriority w:val="0"/>
    <w:qFormat/>
    <w:pPr>
      <w:outlineLvl w:val="1"/>
    </w:pPr>
    <w:rPr>
      <w:rFonts w:ascii="Arial Narrow" w:hAnsi="Arial Narrow" w:eastAsia="仿宋_GB2312"/>
      <w:sz w:val="24"/>
      <w:szCs w:val="24"/>
    </w:rPr>
  </w:style>
  <w:style w:type="character" w:styleId="891" w:customStyle="1">
    <w:name w:val="font81"/>
    <w:uiPriority w:val="0"/>
    <w:qFormat/>
    <w:rPr>
      <w:rFonts w:hint="eastAsia" w:ascii="宋体" w:hAnsi="宋体" w:eastAsia="宋体" w:cs="宋体"/>
      <w:color w:val="000000"/>
      <w:sz w:val="22"/>
      <w:szCs w:val="22"/>
      <w:u w:val="none"/>
    </w:rPr>
  </w:style>
  <w:style w:type="character" w:styleId="892" w:customStyle="1">
    <w:name w:val="签名 字符"/>
    <w:uiPriority w:val="0"/>
    <w:qFormat/>
    <w:rPr>
      <w:rFonts w:eastAsia="仿宋_GB2312"/>
      <w:sz w:val="24"/>
    </w:rPr>
  </w:style>
  <w:style w:type="character" w:styleId="893" w:customStyle="1">
    <w:name w:val="正文缩进 字符"/>
    <w:uiPriority w:val="0"/>
    <w:qFormat/>
    <w:rPr>
      <w:sz w:val="21"/>
    </w:rPr>
  </w:style>
  <w:style w:type="character" w:styleId="894" w:customStyle="1">
    <w:name w:val="font01"/>
    <w:uiPriority w:val="0"/>
    <w:qFormat/>
    <w:rPr>
      <w:rFonts w:ascii="Verdana" w:hAnsi="Verdana" w:cs="Verdana"/>
      <w:color w:val="000000"/>
      <w:sz w:val="21"/>
      <w:szCs w:val="21"/>
      <w:u w:val="none"/>
    </w:rPr>
  </w:style>
  <w:style w:type="character" w:styleId="895" w:customStyle="1">
    <w:name w:val="正文文本 字符"/>
    <w:uiPriority w:val="0"/>
    <w:qFormat/>
    <w:rPr>
      <w:rFonts w:ascii="楷体_GB2312" w:hAnsi="Arial" w:eastAsia="楷体_GB2312"/>
      <w:sz w:val="28"/>
    </w:rPr>
  </w:style>
  <w:style w:type="character" w:styleId="896" w:customStyle="1">
    <w:name w:val="批注文字 Char"/>
    <w:uiPriority w:val="0"/>
    <w:qFormat/>
    <w:rPr>
      <w:sz w:val="21"/>
    </w:rPr>
  </w:style>
  <w:style w:type="character" w:styleId="897" w:customStyle="1">
    <w:name w:val="签名 字符1"/>
    <w:uiPriority w:val="0"/>
    <w:qFormat/>
    <w:rPr>
      <w:rFonts w:eastAsia="仿宋_GB2312"/>
      <w:sz w:val="24"/>
    </w:rPr>
  </w:style>
  <w:style w:type="character" w:styleId="898" w:customStyle="1">
    <w:name w:val="纯文本 字符1"/>
    <w:uiPriority w:val="0"/>
    <w:qFormat/>
    <w:rPr>
      <w:rFonts w:ascii="宋体" w:hAnsi="Courier New"/>
    </w:rPr>
  </w:style>
  <w:style w:type="character" w:styleId="899" w:customStyle="1">
    <w:name w:val="font11"/>
    <w:uiPriority w:val="0"/>
    <w:qFormat/>
    <w:rPr>
      <w:rFonts w:hint="eastAsia" w:ascii="宋体" w:hAnsi="宋体" w:eastAsia="宋体" w:cs="宋体"/>
      <w:color w:val="000000"/>
      <w:sz w:val="24"/>
      <w:szCs w:val="24"/>
      <w:u w:val="none"/>
    </w:rPr>
  </w:style>
  <w:style w:type="character" w:styleId="900" w:customStyle="1">
    <w:name w:val="font71"/>
    <w:uiPriority w:val="0"/>
    <w:qFormat/>
    <w:rPr>
      <w:rFonts w:hint="eastAsia" w:ascii="宋体" w:hAnsi="宋体" w:eastAsia="宋体" w:cs="宋体"/>
      <w:color w:val="000000"/>
      <w:sz w:val="22"/>
      <w:szCs w:val="22"/>
      <w:u w:val="none"/>
    </w:rPr>
  </w:style>
  <w:style w:type="character" w:styleId="901" w:customStyle="1">
    <w:name w:val="font101"/>
    <w:uiPriority w:val="0"/>
    <w:qFormat/>
    <w:rPr>
      <w:rFonts w:ascii="Verdana" w:hAnsi="Verdana" w:cs="Verdana"/>
      <w:color w:val="000000"/>
      <w:sz w:val="21"/>
      <w:szCs w:val="21"/>
      <w:u w:val="none"/>
    </w:rPr>
  </w:style>
  <w:style w:type="paragraph" w:styleId="902" w:customStyle="1">
    <w:name w:val="Char Char Char Char"/>
    <w:basedOn w:val="669"/>
    <w:uiPriority w:val="0"/>
    <w:qFormat/>
    <w:pPr>
      <w:spacing w:line="360" w:lineRule="auto"/>
    </w:pPr>
    <w:rPr>
      <w:rFonts w:ascii="Tahoma" w:hAnsi="Tahoma"/>
      <w:sz w:val="24"/>
      <w:szCs w:val="24"/>
    </w:rPr>
  </w:style>
  <w:style w:type="paragraph" w:styleId="903" w:customStyle="1">
    <w:name w:val="Char Char1 Char Char Char Char Char Char Char"/>
    <w:basedOn w:val="652"/>
    <w:uiPriority w:val="0"/>
    <w:qFormat/>
    <w:rPr>
      <w:rFonts w:ascii="Tahoma" w:hAnsi="Tahoma"/>
      <w:sz w:val="24"/>
    </w:rPr>
  </w:style>
  <w:style w:type="paragraph" w:styleId="904" w:customStyle="1">
    <w:name w:val="列出段落1"/>
    <w:basedOn w:val="652"/>
    <w:uiPriority w:val="34"/>
    <w:qFormat/>
    <w:pPr>
      <w:ind w:firstLine="420"/>
      <w:spacing w:line="360" w:lineRule="auto"/>
    </w:pPr>
    <w:rPr>
      <w:sz w:val="24"/>
      <w:szCs w:val="21"/>
    </w:rPr>
  </w:style>
  <w:style w:type="paragraph" w:styleId="905" w:customStyle="1">
    <w:name w:val="_Style 12"/>
    <w:basedOn w:val="669"/>
    <w:uiPriority w:val="0"/>
    <w:qFormat/>
    <w:pPr>
      <w:jc w:val="left"/>
      <w:spacing w:line="360" w:lineRule="auto"/>
      <w:widowControl/>
    </w:pPr>
    <w:rPr>
      <w:sz w:val="24"/>
      <w:szCs w:val="24"/>
    </w:rPr>
  </w:style>
  <w:style w:type="paragraph" w:styleId="906" w:customStyle="1">
    <w:name w:val="Char Char Char"/>
    <w:basedOn w:val="652"/>
    <w:uiPriority w:val="0"/>
    <w:qFormat/>
    <w:pPr>
      <w:numPr>
        <w:ilvl w:val="0"/>
        <w:numId w:val="1"/>
      </w:numPr>
      <w:tabs>
        <w:tab w:val="left" w:pos="1545" w:leader="none"/>
      </w:tabs>
    </w:pPr>
  </w:style>
  <w:style w:type="paragraph" w:styleId="907" w:customStyle="1">
    <w:name w:val="Char Char Char1"/>
    <w:basedOn w:val="652"/>
    <w:uiPriority w:val="0"/>
    <w:qFormat/>
    <w:pPr>
      <w:ind w:left="375" w:hanging="375"/>
      <w:tabs>
        <w:tab w:val="left" w:pos="375" w:leader="none"/>
        <w:tab w:val="left" w:pos="1545" w:leader="none"/>
      </w:tabs>
    </w:pPr>
  </w:style>
  <w:style w:type="paragraph" w:styleId="908" w:customStyle="1">
    <w:name w:val="head 1.1"/>
    <w:basedOn w:val="904"/>
    <w:uiPriority w:val="0"/>
    <w:qFormat/>
    <w:pPr>
      <w:numPr>
        <w:ilvl w:val="1"/>
        <w:numId w:val="2"/>
      </w:numPr>
      <w:contextualSpacing/>
      <w:ind w:firstLine="0"/>
      <w:spacing w:before="260" w:after="260" w:line="240" w:lineRule="auto"/>
    </w:pPr>
    <w:rPr>
      <w:rFonts w:ascii="宋体" w:hAnsi="宋体"/>
      <w:bCs/>
      <w:sz w:val="21"/>
      <w:szCs w:val="24"/>
    </w:rPr>
  </w:style>
  <w:style w:type="paragraph" w:styleId="909" w:customStyle="1">
    <w:name w:val="Char1 Char Char Char"/>
    <w:basedOn w:val="652"/>
    <w:uiPriority w:val="0"/>
    <w:qFormat/>
    <w:rPr>
      <w:rFonts w:ascii="Tahoma" w:hAnsi="Tahoma"/>
      <w:sz w:val="24"/>
    </w:rPr>
  </w:style>
  <w:style w:type="paragraph" w:styleId="910" w:customStyle="1">
    <w:name w:val="Table Paragraph"/>
    <w:basedOn w:val="652"/>
    <w:uiPriority w:val="1"/>
    <w:qFormat/>
    <w:pPr>
      <w:ind w:left="107"/>
    </w:pPr>
    <w:rPr>
      <w:rFonts w:ascii="宋体" w:hAnsi="宋体" w:cs="宋体"/>
      <w:szCs w:val="24"/>
    </w:rPr>
  </w:style>
  <w:style w:type="paragraph" w:styleId="911" w:customStyle="1">
    <w:name w:val="样式1"/>
    <w:basedOn w:val="652"/>
    <w:uiPriority w:val="0"/>
    <w:qFormat/>
    <w:pPr>
      <w:numPr>
        <w:ilvl w:val="0"/>
        <w:numId w:val="3"/>
      </w:numPr>
    </w:pPr>
    <w:rPr>
      <w:rFonts w:ascii="宋体" w:hAnsi="宋体"/>
      <w:szCs w:val="21"/>
    </w:rPr>
  </w:style>
  <w:style w:type="paragraph" w:styleId="912" w:customStyle="1">
    <w:name w:val="Plain Text1"/>
    <w:basedOn w:val="652"/>
    <w:uiPriority w:val="0"/>
    <w:qFormat/>
    <w:rPr>
      <w:rFonts w:ascii="宋体" w:hAnsi="Courier New" w:eastAsia="楷体_GB2312"/>
      <w:sz w:val="28"/>
    </w:rPr>
  </w:style>
  <w:style w:type="paragraph" w:styleId="913" w:customStyle="1">
    <w:name w:val="Char"/>
    <w:basedOn w:val="652"/>
    <w:uiPriority w:val="0"/>
    <w:qFormat/>
    <w:pPr>
      <w:numPr>
        <w:ilvl w:val="0"/>
        <w:numId w:val="4"/>
      </w:numPr>
    </w:pPr>
    <w:rPr>
      <w:sz w:val="24"/>
      <w:szCs w:val="24"/>
    </w:rPr>
  </w:style>
  <w:style w:type="paragraph" w:styleId="914" w:customStyle="1">
    <w:name w:val="Char Char1 Char Char Char Char Char Char Char1"/>
    <w:basedOn w:val="652"/>
    <w:uiPriority w:val="0"/>
    <w:qFormat/>
    <w:rPr>
      <w:rFonts w:ascii="Calibri Light" w:hAnsi="Calibri Light" w:cs="Berlin Sans FB Demi"/>
      <w:sz w:val="24"/>
    </w:rPr>
  </w:style>
  <w:style w:type="paragraph" w:styleId="915" w:customStyle="1">
    <w:name w:val="Char Char"/>
    <w:basedOn w:val="652"/>
    <w:uiPriority w:val="0"/>
    <w:qFormat/>
    <w:rPr>
      <w:szCs w:val="21"/>
    </w:rPr>
  </w:style>
  <w:style w:type="paragraph" w:styleId="91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917" w:customStyle="1">
    <w:name w:val="网格型1"/>
    <w:basedOn w:val="663"/>
    <w:uiPriority w:val="39"/>
    <w:qFormat/>
    <w:rPr>
      <w:rFonts w:ascii="Calibri" w:hAnsi="Calibri"/>
      <w:sz w:val="21"/>
      <w:szCs w:val="22"/>
    </w:rPr>
    <w:tblPr>
      <w:tblCellMar>
        <w:left w:w="108" w:type="dxa"/>
        <w:top w:w="0" w:type="dxa"/>
        <w:right w:w="108" w:type="dxa"/>
        <w:bottom w:w="0" w:type="dxa"/>
      </w:tblCellMar>
    </w:tblPr>
  </w:style>
  <w:style w:type="character" w:styleId="918" w:customStyle="1">
    <w:name w:val="long_text"/>
    <w:uiPriority w:val="0"/>
    <w:qFormat/>
  </w:style>
  <w:style w:type="paragraph" w:styleId="919" w:customStyle="1">
    <w:name w:val="Char1"/>
    <w:basedOn w:val="652"/>
    <w:uiPriority w:val="0"/>
    <w:qFormat/>
    <w:rPr>
      <w:rFonts w:ascii="Tahoma" w:hAnsi="Tahoma"/>
      <w:sz w:val="24"/>
    </w:rPr>
  </w:style>
  <w:style w:type="character" w:styleId="920" w:customStyle="1">
    <w:name w:val="纯文本 Char2"/>
    <w:link w:val="678"/>
    <w:uiPriority w:val="0"/>
    <w:qFormat/>
    <w:rPr>
      <w:rFonts w:ascii="宋体" w:hAnsi="Courier New" w:eastAsia="楷体_GB2312"/>
      <w:sz w:val="26"/>
    </w:rPr>
  </w:style>
  <w:style w:type="paragraph" w:styleId="921" w:customStyle="1">
    <w:name w:val="表格文字"/>
    <w:basedOn w:val="652"/>
    <w:uiPriority w:val="0"/>
    <w:qFormat/>
    <w:pPr>
      <w:spacing w:before="25" w:after="25"/>
    </w:pPr>
    <w:rPr>
      <w:bCs/>
      <w:spacing w:val="10"/>
      <w:sz w:val="24"/>
    </w:rPr>
  </w:style>
  <w:style w:type="paragraph" w:styleId="922" w:customStyle="1">
    <w:name w:val="修订1"/>
    <w:uiPriority w:val="99"/>
    <w:unhideWhenUsed/>
    <w:qFormat/>
    <w:rPr>
      <w:rFonts w:ascii="Times New Roman" w:hAnsi="Times New Roman" w:eastAsia="宋体" w:cs="Times New Roman"/>
      <w:sz w:val="21"/>
      <w:lang w:val="en-US" w:eastAsia="zh-CN" w:bidi="ar-SA"/>
    </w:rPr>
  </w:style>
  <w:style w:type="character" w:styleId="923" w:customStyle="1">
    <w:name w:val="签名 Char"/>
    <w:uiPriority w:val="99"/>
    <w:qFormat/>
    <w:rPr>
      <w:rFonts w:ascii="Times New Roman" w:hAnsi="Times New Roman" w:eastAsia="仿宋_GB2312" w:cs="Times New Roman"/>
      <w:sz w:val="24"/>
      <w:szCs w:val="20"/>
      <w:lang w:val="zh-CN" w:eastAsia="zh-CN"/>
    </w:rPr>
  </w:style>
  <w:style w:type="paragraph" w:styleId="924" w:customStyle="1">
    <w:name w:val="纯文本2"/>
    <w:basedOn w:val="652"/>
    <w:uiPriority w:val="0"/>
    <w:qFormat/>
    <w:pPr>
      <w:jc w:val="left"/>
      <w:widowControl/>
    </w:pPr>
    <w:rPr>
      <w:rFonts w:hint="eastAsia" w:ascii="宋体" w:hAnsi="Courier New" w:eastAsia="楷体_GB2312" w:cs="宋体"/>
      <w:sz w:val="26"/>
      <w:szCs w:val="22"/>
    </w:rPr>
  </w:style>
  <w:style w:type="character" w:styleId="925" w:customStyle="1">
    <w:name w:val="font51"/>
    <w:uiPriority w:val="0"/>
    <w:qFormat/>
    <w:rPr>
      <w:rFonts w:ascii="Arial" w:hAnsi="Arial" w:cs="Arial"/>
      <w:color w:val="000000"/>
      <w:sz w:val="22"/>
      <w:szCs w:val="22"/>
      <w:u w:val="none"/>
    </w:rPr>
  </w:style>
  <w:style w:type="character" w:styleId="926" w:customStyle="1">
    <w:name w:val="font41"/>
    <w:uiPriority w:val="0"/>
    <w:qFormat/>
    <w:rPr>
      <w:rFonts w:hint="eastAsia" w:ascii="宋体" w:hAnsi="宋体" w:eastAsia="宋体" w:cs="宋体"/>
      <w:color w:val="000000"/>
      <w:sz w:val="22"/>
      <w:szCs w:val="22"/>
      <w:u w:val="none"/>
    </w:rPr>
  </w:style>
  <w:style w:type="character" w:styleId="927" w:customStyle="1">
    <w:name w:val="font61"/>
    <w:uiPriority w:val="0"/>
    <w:qFormat/>
    <w:rPr>
      <w:rFonts w:hint="eastAsia" w:ascii="宋体" w:hAnsi="宋体" w:eastAsia="宋体" w:cs="宋体"/>
      <w:color w:val="000000"/>
      <w:sz w:val="22"/>
      <w:szCs w:val="22"/>
      <w:u w:val="none"/>
    </w:rPr>
  </w:style>
  <w:style w:type="character" w:styleId="928" w:customStyle="1">
    <w:name w:val="font121"/>
    <w:uiPriority w:val="0"/>
    <w:qFormat/>
    <w:rPr>
      <w:rFonts w:hint="eastAsia" w:ascii="宋体" w:hAnsi="宋体" w:eastAsia="宋体" w:cs="宋体"/>
      <w:color w:val="000000"/>
      <w:sz w:val="22"/>
      <w:szCs w:val="22"/>
      <w:u w:val="none"/>
      <w:vertAlign w:val="superscript"/>
    </w:rPr>
  </w:style>
  <w:style w:type="character" w:styleId="929" w:customStyle="1">
    <w:name w:val="font131"/>
    <w:uiPriority w:val="0"/>
    <w:qFormat/>
    <w:rPr>
      <w:rFonts w:hint="eastAsia" w:ascii="宋体" w:hAnsi="宋体" w:eastAsia="宋体" w:cs="宋体"/>
      <w:color w:val="000000"/>
      <w:sz w:val="22"/>
      <w:szCs w:val="22"/>
      <w:u w:val="none"/>
      <w:vertAlign w:val="superscript"/>
    </w:rPr>
  </w:style>
  <w:style w:type="character" w:styleId="930" w:customStyle="1">
    <w:name w:val="font141"/>
    <w:uiPriority w:val="0"/>
    <w:qFormat/>
    <w:rPr>
      <w:rFonts w:ascii="Arial" w:hAnsi="Arial" w:cs="Arial"/>
      <w:color w:val="000000"/>
      <w:sz w:val="22"/>
      <w:szCs w:val="22"/>
      <w:u w:val="none"/>
    </w:rPr>
  </w:style>
  <w:style w:type="character" w:styleId="931" w:customStyle="1">
    <w:name w:val="签名 Char1"/>
    <w:uiPriority w:val="0"/>
    <w:qFormat/>
    <w:rPr>
      <w:rFonts w:eastAsia="仿宋_GB2312"/>
      <w:sz w:val="24"/>
    </w:rPr>
  </w:style>
  <w:style w:type="character" w:styleId="932" w:customStyle="1">
    <w:name w:val="纯文本 Char1"/>
    <w:uiPriority w:val="0"/>
    <w:semiHidden/>
    <w:qFormat/>
    <w:rPr>
      <w:rFonts w:ascii="宋体" w:hAnsi="Courier New"/>
      <w:sz w:val="21"/>
    </w:rPr>
  </w:style>
  <w:style w:type="character" w:styleId="933" w:customStyle="1">
    <w:name w:val="正文文本 Char"/>
    <w:uiPriority w:val="99"/>
    <w:semiHidden/>
    <w:qFormat/>
    <w:rPr>
      <w:sz w:val="21"/>
    </w:rPr>
  </w:style>
  <w:style w:type="paragraph" w:styleId="934" w:customStyle="1">
    <w:name w:val="纯文本1"/>
    <w:basedOn w:val="652"/>
    <w:uiPriority w:val="0"/>
    <w:qFormat/>
    <w:rPr>
      <w:rFonts w:ascii="宋体" w:hAnsi="Courier New" w:eastAsia="楷体_GB2312"/>
      <w:sz w:val="28"/>
      <w:szCs w:val="20"/>
    </w:rPr>
  </w:style>
  <w:style w:type="numbering" w:styleId="14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王仕倩</cp:lastModifiedBy>
  <cp:revision>4</cp:revision>
  <dcterms:created xsi:type="dcterms:W3CDTF">2026-03-20T00:10:00Z</dcterms:created>
  <dcterms:modified xsi:type="dcterms:W3CDTF">2026-04-17T06:01:46Z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2052-12.1.0.25225</vt:lpwstr>
  </property>
  <property fmtid="{D5CDD505-2E9C-101B-9397-08002B2CF9AE}" pid="4" name="ICV">
    <vt:lpwstr>48887B83A6B745EF8218A454AC24EB4B_13</vt:lpwstr>
  </property>
</Properties>
</file>